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9" w:rsidRPr="00F9755A" w:rsidRDefault="00CA6969" w:rsidP="00BB3AE9">
      <w:pPr>
        <w:pStyle w:val="11"/>
        <w:tabs>
          <w:tab w:val="left" w:pos="11164"/>
        </w:tabs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Камянець-Подільський</w:t>
      </w:r>
      <w:proofErr w:type="spellEnd"/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нац</w:t>
      </w:r>
      <w:r w:rsidR="00FF619C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іональний університет імені Іва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на Огієнка 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BB3AE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фізико-математичний факультет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кафедра </w:t>
      </w:r>
      <w:r w:rsidR="00BB3AE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математики</w:t>
      </w:r>
    </w:p>
    <w:p w:rsidR="006D722C" w:rsidRPr="00F9755A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Загальна інформація про курс</w:t>
      </w:r>
    </w:p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F9755A" w:rsidTr="00C940AA">
        <w:trPr>
          <w:trHeight w:val="63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Назва курсу</w:t>
            </w:r>
            <w:r w:rsidR="00F353E1"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FB35AC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обчислен</w:t>
            </w:r>
            <w:r w:rsidR="00625809" w:rsidRPr="00F97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BB3AE9" w:rsidRPr="00F97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українська мова викладання</w:t>
            </w:r>
          </w:p>
        </w:tc>
      </w:tr>
      <w:tr w:rsidR="00CA6969" w:rsidRPr="00F9755A" w:rsidTr="00CD11F9">
        <w:trPr>
          <w:trHeight w:val="22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Default="008A0FD9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Щирба</w:t>
            </w:r>
            <w:proofErr w:type="spellEnd"/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 </w:t>
            </w:r>
            <w:proofErr w:type="spellStart"/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Самуїлович</w:t>
            </w:r>
            <w:proofErr w:type="spellEnd"/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декан фізико-математичного факультету</w:t>
            </w:r>
            <w:r w:rsidR="00FD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D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кандидат фізико-математичних наук, доцент</w:t>
            </w:r>
          </w:p>
          <w:p w:rsidR="00FD7722" w:rsidRPr="00CC6796" w:rsidRDefault="00FD7722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Авдеюк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Павло Іванович, кандидат фізико-математичних наук, доцент</w:t>
            </w:r>
          </w:p>
          <w:p w:rsidR="00D76B07" w:rsidRPr="00F9755A" w:rsidRDefault="00D76B07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Думанська</w:t>
            </w:r>
            <w:proofErr w:type="spellEnd"/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Володимирівна, кандидат педагогічних наук, асистент</w:t>
            </w:r>
          </w:p>
        </w:tc>
      </w:tr>
      <w:tr w:rsidR="00CA6969" w:rsidRPr="00CC6796" w:rsidTr="00CD11F9">
        <w:trPr>
          <w:trHeight w:val="3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9755A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Профайл</w:t>
            </w:r>
            <w:proofErr w:type="spellEnd"/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D7722" w:rsidRDefault="00485DD1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5"/>
                <w:color w:val="auto"/>
                <w:u w:val="none"/>
                <w:lang w:val="uk-UA"/>
              </w:rPr>
            </w:pPr>
            <w:hyperlink r:id="rId9" w:history="1">
              <w:r w:rsidR="008A0FD9"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https://inf.kpnu.edu.ua/2019/11/04/shchyrba-viktor-samuilovych/</w:t>
              </w:r>
            </w:hyperlink>
            <w:r w:rsidR="008A0FD9" w:rsidRPr="00F975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6B07" w:rsidRPr="00CC6796">
              <w:rPr>
                <w:rStyle w:val="a5"/>
                <w:color w:val="auto"/>
                <w:u w:val="none"/>
                <w:lang w:val="uk-UA"/>
              </w:rPr>
              <w:t>;</w:t>
            </w:r>
          </w:p>
          <w:p w:rsidR="00FD7722" w:rsidRDefault="00FD7722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2562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http://math.kpnu.edu.ua/</w:t>
              </w:r>
              <w:r w:rsidRPr="002562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k</w:t>
              </w:r>
              <w:r w:rsidRPr="002562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af/avdeyuk/</w:t>
              </w:r>
            </w:hyperlink>
          </w:p>
          <w:p w:rsidR="00CA6969" w:rsidRPr="00F9755A" w:rsidRDefault="00D76B07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C6796">
              <w:rPr>
                <w:rStyle w:val="a5"/>
                <w:color w:val="auto"/>
                <w:u w:val="none"/>
                <w:lang w:val="uk-UA"/>
              </w:rPr>
              <w:t xml:space="preserve"> </w:t>
            </w:r>
            <w:hyperlink r:id="rId11" w:history="1">
              <w:r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http://math.kpnu.ed</w:t>
              </w:r>
              <w:r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u</w:t>
              </w:r>
              <w:r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.ua/kaf/dum</w:t>
              </w:r>
              <w:r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a</w:t>
              </w:r>
              <w:r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nska/</w:t>
              </w:r>
            </w:hyperlink>
          </w:p>
        </w:tc>
      </w:tr>
      <w:tr w:rsidR="005A424D" w:rsidRPr="00CC6796" w:rsidTr="00CD11F9">
        <w:trPr>
          <w:trHeight w:val="35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Default="00485DD1" w:rsidP="008D0F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62251" w:rsidRPr="0048111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shchyrba.viktor@gmail.com</w:t>
              </w:r>
            </w:hyperlink>
          </w:p>
          <w:p w:rsidR="00FD7722" w:rsidRPr="00481111" w:rsidRDefault="00FD7722" w:rsidP="008D0F1D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FD772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pavdej@gmail.com</w:t>
              </w:r>
            </w:hyperlink>
          </w:p>
          <w:p w:rsidR="004E6AF0" w:rsidRPr="00F9755A" w:rsidRDefault="004E6AF0" w:rsidP="008D0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111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dumtanja@gmail.com</w:t>
            </w:r>
          </w:p>
        </w:tc>
      </w:tr>
      <w:tr w:rsidR="005A424D" w:rsidRPr="00F9755A" w:rsidTr="00C940AA">
        <w:trPr>
          <w:trHeight w:val="598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Сторінка курсу в 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Дайте посилання на курс в систем</w:t>
            </w:r>
            <w:r w:rsidR="006B7B2D" w:rsidRPr="00F975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наприклад, </w:t>
            </w:r>
            <w:hyperlink r:id="rId14" w:history="1">
              <w:r w:rsidR="00A53466" w:rsidRPr="00F975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https://moodle.kpnu.edu.ua/user/index.php?id=1350</w:t>
              </w:r>
            </w:hyperlink>
          </w:p>
        </w:tc>
      </w:tr>
      <w:tr w:rsidR="005A424D" w:rsidRPr="00F9755A" w:rsidTr="00CD11F9">
        <w:trPr>
          <w:trHeight w:val="41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9755A" w:rsidRDefault="005E73F8" w:rsidP="008D0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7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Групові консультації проводяться за графіком кафедри, індивідуальні – в другій половині всіх робочих днів</w:t>
            </w:r>
            <w:r w:rsidRPr="00F9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F9755A" w:rsidRDefault="00CA6969" w:rsidP="00A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Анотація до курсу</w:t>
      </w:r>
    </w:p>
    <w:p w:rsidR="006B7B2D" w:rsidRPr="00F9755A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5C4A7C" w:rsidRPr="00F9755A" w:rsidRDefault="00A5466F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Основне призначення</w:t>
      </w:r>
      <w:r w:rsidR="00C53778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курсу – 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дослідження </w:t>
      </w:r>
      <w:r w:rsidR="00625809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основних задач математичного аналізу та лінійної алгебри, що потребують числового результату,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обґрунтувати</w:t>
      </w:r>
      <w:r w:rsidR="00625809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алгоритми їх знаходження,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625809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порівняльну характеристику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методів та особливості використання</w:t>
      </w:r>
      <w:r w:rsidR="00C53778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для сучасних комп’ютерних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C53778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</w:t>
      </w:r>
      <w:r w:rsidR="005C4A7C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формується із таких складових, як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основи теорії похибок, наближені методи розв’язування нелінійних рівнянь</w:t>
      </w:r>
      <w:r w:rsidR="005C4A7C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точні та наближені методи розв’язування систем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lastRenderedPageBreak/>
        <w:t>лінійних алгебраїчних рівнянь, чисельне інтегрування</w:t>
      </w:r>
      <w:r w:rsidR="005C4A7C"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наближені методи розв’язування диференціальних рівнянь та їх систем, інтерполювання функцій</w:t>
      </w:r>
      <w:r w:rsidR="005C4A7C" w:rsidRPr="00F9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11F9" w:rsidRPr="00F9755A" w:rsidRDefault="00CD11F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F9755A" w:rsidRDefault="00CA6969" w:rsidP="00A546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 та цілі курсу</w:t>
      </w:r>
    </w:p>
    <w:p w:rsidR="00CD11F9" w:rsidRPr="00F9755A" w:rsidRDefault="00CD11F9" w:rsidP="00CD11F9">
      <w:pPr>
        <w:pBdr>
          <w:top w:val="nil"/>
          <w:left w:val="nil"/>
          <w:bottom w:val="nil"/>
          <w:right w:val="nil"/>
          <w:between w:val="nil"/>
        </w:pBdr>
        <w:spacing w:before="120" w:after="160" w:line="240" w:lineRule="auto"/>
        <w:ind w:left="714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AB00A6" w:rsidRPr="00F9755A" w:rsidRDefault="00AB00A6" w:rsidP="00AB0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Метою курсу є формування у студентів поняття про чисельні методи розв’язування прикладних задач, методи оцінки точності одержуваних результатів, показати практичну значимість методів обчислень, математич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softHyphen/>
        <w:t>ного моделювання, обчислювального експерименту, їх застосовність до розв’язання найрізноманітніших гу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softHyphen/>
        <w:t>манітарних, технічних і наукових проблем, реалізації тих великих можливостей, які відкриває ефективне використання ЕОМ.</w:t>
      </w:r>
    </w:p>
    <w:p w:rsidR="00625809" w:rsidRPr="00F9755A" w:rsidRDefault="00625809" w:rsidP="00625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вивчення дисципліни “Методи обчислень” є розкриття місця і значення знань чисельних методів у загальній і професійній освіті, з’ясування психолого-педагогічних аспектів засвоєння предмета, взаємозв’язки курсу чисельні методи з іншими навчальними предметами, зокрема алгеброю, математичним аналізом, інформатикою, фізикою, відображення практичної значимості чисельних методів, математич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softHyphen/>
        <w:t>ного моделювання, обчислювального експерименту, їх застосовність до розв’язання найрізноманітніших гу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softHyphen/>
        <w:t>манітарних, технічних і наукових проблем, реалізації тих великих можливостей, які відкриває ефективне використання ЕОМ. Озброїти майбутніх фахівців теоретичними знаннями і практичними вміннями; розвинути у студентів вміння самостійно працювати з літературою, їх пізнавальні інтереси, прагнення до удосконалення своєї професійної підготовки</w:t>
      </w:r>
    </w:p>
    <w:p w:rsidR="002874DE" w:rsidRPr="00F9755A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Pr="00F9755A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Формат курсу</w:t>
      </w:r>
    </w:p>
    <w:p w:rsidR="006B7B2D" w:rsidRPr="00F9755A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CA6969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Стандартний очний навчальний курс.</w:t>
      </w:r>
    </w:p>
    <w:p w:rsidR="008D0F1D" w:rsidRPr="00F9755A" w:rsidRDefault="008D0F1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F9755A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Результати навчання</w:t>
      </w:r>
    </w:p>
    <w:p w:rsid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  <w:lang w:val="uk-UA"/>
        </w:rPr>
      </w:pPr>
    </w:p>
    <w:p w:rsidR="008D0F1D" w:rsidRPr="00F9755A" w:rsidRDefault="008D0F1D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color w:val="000000"/>
          <w:sz w:val="16"/>
          <w:szCs w:val="16"/>
          <w:lang w:val="uk-UA"/>
        </w:rPr>
      </w:pPr>
    </w:p>
    <w:p w:rsidR="0060743D" w:rsidRPr="00F9755A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60743D" w:rsidRPr="00F9755A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знати: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фундаментальні розділи математики у обсязі достатньому для використання математичного апарату у процесі розв’язання прикладних задач, побудови математичних моделей, знати особливості реалізації методу на ЕОМ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0743D" w:rsidRPr="00F9755A" w:rsidRDefault="0060743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вміти: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t>використовувати алго</w:t>
      </w:r>
      <w:r w:rsidR="00DD7881" w:rsidRPr="00F9755A">
        <w:rPr>
          <w:rFonts w:ascii="Times New Roman" w:hAnsi="Times New Roman" w:cs="Times New Roman"/>
          <w:sz w:val="28"/>
          <w:szCs w:val="28"/>
          <w:lang w:val="uk-UA"/>
        </w:rPr>
        <w:softHyphen/>
        <w:t>ритми методів обчислень, обґрунтовувати вибір чисельного методу розв’язування задачі, мати навички практичного використання програмного забезпечення ЕОМ для розв’язання прикладних задач, проводити необхідні обчислення і аналізувати отримані результати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0AA" w:rsidRDefault="00C940AA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F1D" w:rsidRDefault="008D0F1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F1D" w:rsidRDefault="008D0F1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F1D" w:rsidRPr="00F9755A" w:rsidRDefault="008D0F1D" w:rsidP="0060743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F9755A" w:rsidRDefault="00CA6969" w:rsidP="008D0F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Обсяг </w:t>
      </w:r>
      <w:r w:rsidR="00C75A78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 ознаки 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</w:p>
    <w:p w:rsidR="00077271" w:rsidRPr="00616163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6946"/>
      </w:tblGrid>
      <w:tr w:rsidR="00FC62FD" w:rsidRPr="00F9755A" w:rsidTr="00626F7A">
        <w:trPr>
          <w:trHeight w:val="254"/>
        </w:trPr>
        <w:tc>
          <w:tcPr>
            <w:tcW w:w="4961" w:type="dxa"/>
            <w:vMerge w:val="restart"/>
          </w:tcPr>
          <w:p w:rsidR="00FC62FD" w:rsidRPr="00F9755A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C62FD" w:rsidRPr="00F9755A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навчальн</w:t>
            </w:r>
            <w:r w:rsidR="00135C40" w:rsidRPr="00F9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ого</w:t>
            </w:r>
            <w:r w:rsidRPr="00F9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35C40" w:rsidRPr="00F975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курсу </w:t>
            </w:r>
          </w:p>
        </w:tc>
      </w:tr>
      <w:tr w:rsidR="00AE0697" w:rsidRPr="0006116D" w:rsidTr="00626F7A">
        <w:trPr>
          <w:trHeight w:val="375"/>
        </w:trPr>
        <w:tc>
          <w:tcPr>
            <w:tcW w:w="4961" w:type="dxa"/>
            <w:vMerge/>
          </w:tcPr>
          <w:p w:rsidR="00AE0697" w:rsidRPr="00F9755A" w:rsidRDefault="00AE069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E0697" w:rsidRPr="0006116D" w:rsidRDefault="00AE0697" w:rsidP="00966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1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Освітня програма, спеціальність</w:t>
            </w:r>
          </w:p>
        </w:tc>
        <w:tc>
          <w:tcPr>
            <w:tcW w:w="6946" w:type="dxa"/>
          </w:tcPr>
          <w:p w:rsidR="001A086B" w:rsidRPr="0006116D" w:rsidRDefault="001A086B" w:rsidP="008D0F1D">
            <w:pPr>
              <w:pStyle w:val="a3"/>
              <w:numPr>
                <w:ilvl w:val="3"/>
                <w:numId w:val="4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Математика, інформатика; 014 Середня освіта (Математика) </w:t>
            </w:r>
          </w:p>
          <w:p w:rsidR="00EA3C22" w:rsidRPr="0006116D" w:rsidRDefault="00EA3C22" w:rsidP="008D0F1D">
            <w:pPr>
              <w:pStyle w:val="a3"/>
              <w:numPr>
                <w:ilvl w:val="3"/>
                <w:numId w:val="4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Комп'ютерні</w:t>
            </w:r>
            <w:proofErr w:type="spellEnd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науки та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  <w:proofErr w:type="spellEnd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  <w:proofErr w:type="spellEnd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122 </w:t>
            </w:r>
            <w:proofErr w:type="spellStart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Комп’ютерні</w:t>
            </w:r>
            <w:proofErr w:type="spellEnd"/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науки</w:t>
            </w:r>
          </w:p>
          <w:p w:rsidR="00EA3C22" w:rsidRPr="0006116D" w:rsidRDefault="00CE0699" w:rsidP="008D0F1D">
            <w:pPr>
              <w:pStyle w:val="a3"/>
              <w:numPr>
                <w:ilvl w:val="3"/>
                <w:numId w:val="4"/>
              </w:numPr>
              <w:ind w:left="453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Комп'ютерні науки та  інформаційні технології;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122 Комп’ютерні науки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базі диплому молодшого спеціаліста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 навчання/ рік викладання</w:t>
            </w:r>
          </w:p>
        </w:tc>
        <w:tc>
          <w:tcPr>
            <w:tcW w:w="6946" w:type="dxa"/>
          </w:tcPr>
          <w:p w:rsidR="00CE0699" w:rsidRPr="0006116D" w:rsidRDefault="00CE0699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1.– 2. </w:t>
            </w:r>
            <w:r w:rsidR="001A086B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третій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/20</w:t>
            </w:r>
            <w:r w:rsidR="00CC6796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CC6796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16163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другий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/2020-2021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Семестр вивчення</w:t>
            </w:r>
          </w:p>
        </w:tc>
        <w:tc>
          <w:tcPr>
            <w:tcW w:w="6946" w:type="dxa"/>
          </w:tcPr>
          <w:p w:rsidR="00CE0699" w:rsidRPr="0006116D" w:rsidRDefault="00CE0699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1.– 2. </w:t>
            </w:r>
            <w:r w:rsidR="00CC6796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п’ятий</w:t>
            </w:r>
            <w:r w:rsidR="00616163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третій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нормативна/вибіркова</w:t>
            </w:r>
          </w:p>
        </w:tc>
        <w:tc>
          <w:tcPr>
            <w:tcW w:w="6946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6946" w:type="dxa"/>
          </w:tcPr>
          <w:p w:rsidR="00CE0699" w:rsidRPr="0006116D" w:rsidRDefault="001A086B" w:rsidP="008D0F1D">
            <w:pPr>
              <w:pStyle w:val="a3"/>
              <w:numPr>
                <w:ilvl w:val="6"/>
                <w:numId w:val="4"/>
              </w:numPr>
              <w:ind w:left="3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5,5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150506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ЄКТС</w:t>
            </w:r>
            <w:r w:rsidR="00616163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.– 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 w:rsidR="00CE0699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кредитів ЄКТС</w:t>
            </w:r>
          </w:p>
        </w:tc>
      </w:tr>
      <w:tr w:rsidR="00AE0697" w:rsidRPr="0006116D" w:rsidTr="00CE0699">
        <w:trPr>
          <w:trHeight w:val="140"/>
        </w:trPr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годин</w:t>
            </w:r>
          </w:p>
        </w:tc>
        <w:tc>
          <w:tcPr>
            <w:tcW w:w="6946" w:type="dxa"/>
          </w:tcPr>
          <w:p w:rsidR="00AE0697" w:rsidRPr="0006116D" w:rsidRDefault="00CE0699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165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год.</w:t>
            </w:r>
            <w:r w:rsidR="00616163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2.– 3. </w:t>
            </w:r>
            <w:r w:rsidR="001A086B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годин навчальних занять</w:t>
            </w:r>
          </w:p>
        </w:tc>
        <w:tc>
          <w:tcPr>
            <w:tcW w:w="6946" w:type="dxa"/>
          </w:tcPr>
          <w:p w:rsidR="00AE0697" w:rsidRPr="0006116D" w:rsidRDefault="00CE0699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66 год.</w:t>
            </w:r>
            <w:r w:rsidR="00616163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2.– 3. </w:t>
            </w:r>
            <w:r w:rsidR="00616163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6946" w:type="dxa"/>
          </w:tcPr>
          <w:p w:rsidR="00AE0697" w:rsidRPr="0006116D" w:rsidRDefault="001A086B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6946" w:type="dxa"/>
          </w:tcPr>
          <w:p w:rsidR="00AE0697" w:rsidRPr="0006116D" w:rsidRDefault="00064501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E0697"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6946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6946" w:type="dxa"/>
          </w:tcPr>
          <w:p w:rsidR="00AE0697" w:rsidRPr="0006116D" w:rsidRDefault="00616163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52 год.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2.– 3.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</w:t>
            </w:r>
          </w:p>
        </w:tc>
        <w:tc>
          <w:tcPr>
            <w:tcW w:w="6946" w:type="dxa"/>
          </w:tcPr>
          <w:p w:rsidR="00AE0697" w:rsidRPr="0006116D" w:rsidRDefault="00616163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2.– 3. 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 год.</w:t>
            </w:r>
          </w:p>
        </w:tc>
      </w:tr>
      <w:tr w:rsidR="00AE0697" w:rsidRPr="0006116D" w:rsidTr="00626F7A">
        <w:tc>
          <w:tcPr>
            <w:tcW w:w="4961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6946" w:type="dxa"/>
          </w:tcPr>
          <w:p w:rsidR="00AE0697" w:rsidRPr="0006116D" w:rsidRDefault="00AE0697" w:rsidP="008D0F1D">
            <w:pPr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116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915B70" w:rsidRPr="0006116D" w:rsidRDefault="00915B70" w:rsidP="008D0F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992E30" w:rsidRPr="0006116D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06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0611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</w:t>
      </w:r>
    </w:p>
    <w:p w:rsidR="00915B70" w:rsidRPr="0006116D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AB00A6" w:rsidRPr="0006116D" w:rsidRDefault="00AB00A6" w:rsidP="00AB00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6D">
        <w:rPr>
          <w:rFonts w:ascii="Times New Roman" w:hAnsi="Times New Roman" w:cs="Times New Roman"/>
          <w:sz w:val="28"/>
          <w:szCs w:val="28"/>
          <w:lang w:val="uk-UA"/>
        </w:rPr>
        <w:t>Передумови для вивчення дисципліни – вивчення розділів теорії функції дійсної змінної, лінійної алгебри (лінійної алгебри і аналітичної геометрії).</w:t>
      </w:r>
    </w:p>
    <w:p w:rsidR="00CA6969" w:rsidRPr="0006116D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61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Технічне й програмне забезпечення /обладнання</w:t>
      </w:r>
    </w:p>
    <w:p w:rsidR="00915B70" w:rsidRPr="0006116D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D532B" w:rsidRPr="00F9755A" w:rsidRDefault="0022512D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 </w:t>
      </w:r>
      <w:r w:rsidR="00CD532B" w:rsidRPr="0006116D">
        <w:rPr>
          <w:rFonts w:ascii="Times New Roman" w:hAnsi="Times New Roman" w:cs="Times New Roman"/>
          <w:sz w:val="28"/>
          <w:szCs w:val="28"/>
          <w:lang w:val="uk-UA"/>
        </w:rPr>
        <w:t xml:space="preserve">курсу не потребує використання </w:t>
      </w:r>
      <w:r w:rsidR="001A086B" w:rsidRPr="0006116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 w:rsidR="00CD532B" w:rsidRPr="0006116D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забезпечення, крім загальновживаних програм і операційних систем.</w:t>
      </w:r>
    </w:p>
    <w:p w:rsidR="00C940AA" w:rsidRPr="00F9755A" w:rsidRDefault="00C940AA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0AA" w:rsidRPr="00F9755A" w:rsidRDefault="00C940AA" w:rsidP="0022512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969" w:rsidRPr="00F9755A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A696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Політик</w:t>
      </w:r>
      <w:r w:rsidR="008F4594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="00CA6969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курсу</w:t>
      </w:r>
    </w:p>
    <w:p w:rsidR="00915B70" w:rsidRPr="00F9755A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FB2E59" w:rsidRPr="00F9755A" w:rsidRDefault="00FB2E5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Відвідування занять.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всі студенти відвідають усі лекції і </w:t>
      </w:r>
      <w:r w:rsidR="00626CDF" w:rsidRPr="00F9755A">
        <w:rPr>
          <w:rFonts w:ascii="Times New Roman" w:hAnsi="Times New Roman" w:cs="Times New Roman"/>
          <w:sz w:val="28"/>
          <w:szCs w:val="28"/>
          <w:lang w:val="uk-UA"/>
        </w:rPr>
        <w:t>лабораторні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заняття курсу.</w:t>
      </w:r>
      <w:r w:rsidRPr="00F975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курсом. </w:t>
      </w:r>
    </w:p>
    <w:p w:rsidR="00FB2E59" w:rsidRPr="00F9755A" w:rsidRDefault="00FB2E5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Поведінка в аудиторіях.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впродовж лекційних і </w:t>
      </w:r>
      <w:r w:rsidR="00626CDF" w:rsidRPr="00F9755A">
        <w:rPr>
          <w:rFonts w:ascii="Times New Roman" w:hAnsi="Times New Roman" w:cs="Times New Roman"/>
          <w:sz w:val="28"/>
          <w:szCs w:val="28"/>
          <w:lang w:val="uk-UA"/>
        </w:rPr>
        <w:t>лаборатор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них занять студенти дотримуються діючих правил охорони праці, безпеки життєдіяльності. </w:t>
      </w:r>
    </w:p>
    <w:p w:rsidR="00EC3D89" w:rsidRPr="00F9755A" w:rsidRDefault="00EC3D89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Письмові роботи.</w:t>
      </w:r>
      <w:r w:rsidRPr="00F9755A">
        <w:rPr>
          <w:lang w:val="uk-UA"/>
        </w:rPr>
        <w:t xml:space="preserve"> 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студенти виконають модульну контрольну роботу. </w:t>
      </w:r>
    </w:p>
    <w:p w:rsidR="00C7273C" w:rsidRPr="00F9755A" w:rsidRDefault="00C7273C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Норми етичної поведінки.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діючого в Кам'янець-Подільському національному університеті імені Івана Огієнка університеті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 </w:t>
      </w:r>
    </w:p>
    <w:p w:rsidR="00C7273C" w:rsidRPr="00F9755A" w:rsidRDefault="00C7273C" w:rsidP="00E863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Академічна доброчесність.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Очікується, що роботи студентів будуть їх власними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 контролю результатів навчання. </w:t>
      </w:r>
    </w:p>
    <w:p w:rsidR="00CA6969" w:rsidRPr="00F9755A" w:rsidRDefault="00CA6969" w:rsidP="00FB2E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Схема курсу</w:t>
      </w:r>
    </w:p>
    <w:p w:rsidR="00FE351A" w:rsidRPr="00F9755A" w:rsidRDefault="00FE351A" w:rsidP="00FE351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818"/>
        <w:gridCol w:w="1419"/>
        <w:gridCol w:w="1701"/>
        <w:gridCol w:w="1981"/>
        <w:gridCol w:w="1281"/>
        <w:gridCol w:w="1701"/>
        <w:gridCol w:w="1351"/>
      </w:tblGrid>
      <w:tr w:rsidR="00423B8F" w:rsidRPr="00F9755A" w:rsidTr="00423B8F">
        <w:trPr>
          <w:cantSplit/>
          <w:trHeight w:val="562"/>
        </w:trPr>
        <w:tc>
          <w:tcPr>
            <w:tcW w:w="359" w:type="pct"/>
          </w:tcPr>
          <w:p w:rsidR="001F00F4" w:rsidRPr="00F9755A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755A">
              <w:rPr>
                <w:rFonts w:ascii="Times New Roman" w:hAnsi="Times New Roman" w:cs="Times New Roman"/>
                <w:lang w:val="uk-UA"/>
              </w:rPr>
              <w:t>Кіл-ть</w:t>
            </w:r>
            <w:proofErr w:type="spellEnd"/>
            <w:r w:rsidRPr="00F9755A">
              <w:rPr>
                <w:rFonts w:ascii="Times New Roman" w:hAnsi="Times New Roman" w:cs="Times New Roman"/>
                <w:lang w:val="uk-UA"/>
              </w:rPr>
              <w:t xml:space="preserve"> акад. год.</w:t>
            </w:r>
          </w:p>
        </w:tc>
        <w:tc>
          <w:tcPr>
            <w:tcW w:w="1569" w:type="pct"/>
          </w:tcPr>
          <w:p w:rsidR="001F00F4" w:rsidRPr="00F9755A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Тема заняття</w:t>
            </w:r>
          </w:p>
        </w:tc>
        <w:tc>
          <w:tcPr>
            <w:tcW w:w="462" w:type="pct"/>
          </w:tcPr>
          <w:p w:rsidR="001F00F4" w:rsidRPr="00F9755A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Форма заняття</w:t>
            </w:r>
          </w:p>
        </w:tc>
        <w:tc>
          <w:tcPr>
            <w:tcW w:w="554" w:type="pct"/>
          </w:tcPr>
          <w:p w:rsidR="001F00F4" w:rsidRPr="00F9755A" w:rsidRDefault="001F00F4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Матеріали</w:t>
            </w:r>
          </w:p>
        </w:tc>
        <w:tc>
          <w:tcPr>
            <w:tcW w:w="645" w:type="pct"/>
          </w:tcPr>
          <w:p w:rsidR="001F00F4" w:rsidRPr="00F9755A" w:rsidRDefault="001F00F4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Література</w:t>
            </w:r>
            <w:r w:rsidR="0080045D" w:rsidRPr="00F9755A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1F00F4" w:rsidRPr="00F9755A" w:rsidRDefault="001F00F4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Інтернет ресурси</w:t>
            </w:r>
          </w:p>
        </w:tc>
        <w:tc>
          <w:tcPr>
            <w:tcW w:w="417" w:type="pct"/>
          </w:tcPr>
          <w:p w:rsidR="00AE283C" w:rsidRPr="00F9755A" w:rsidRDefault="00AE283C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Завдання,</w:t>
            </w:r>
          </w:p>
          <w:p w:rsidR="001F00F4" w:rsidRPr="00F9755A" w:rsidRDefault="00AE283C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9755A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</w:tc>
        <w:tc>
          <w:tcPr>
            <w:tcW w:w="554" w:type="pct"/>
          </w:tcPr>
          <w:p w:rsidR="00AE283C" w:rsidRPr="00F9755A" w:rsidRDefault="00AE283C" w:rsidP="008004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Вага оцінки</w:t>
            </w:r>
          </w:p>
          <w:p w:rsidR="001F00F4" w:rsidRPr="00F9755A" w:rsidRDefault="00AE283C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(балів)</w:t>
            </w:r>
          </w:p>
        </w:tc>
        <w:tc>
          <w:tcPr>
            <w:tcW w:w="440" w:type="pct"/>
            <w:shd w:val="clear" w:color="auto" w:fill="auto"/>
          </w:tcPr>
          <w:p w:rsidR="001F00F4" w:rsidRPr="00F9755A" w:rsidRDefault="00AE283C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Термін виконання</w:t>
            </w:r>
          </w:p>
        </w:tc>
      </w:tr>
      <w:tr w:rsidR="00423B8F" w:rsidRPr="00F9755A" w:rsidTr="00423B8F">
        <w:trPr>
          <w:trHeight w:val="441"/>
        </w:trPr>
        <w:tc>
          <w:tcPr>
            <w:tcW w:w="359" w:type="pct"/>
            <w:vAlign w:val="center"/>
          </w:tcPr>
          <w:p w:rsidR="00423B8F" w:rsidRPr="00F9755A" w:rsidRDefault="00423B8F" w:rsidP="00FE35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1569" w:type="pct"/>
            <w:vAlign w:val="center"/>
          </w:tcPr>
          <w:p w:rsidR="00423B8F" w:rsidRPr="00F9755A" w:rsidRDefault="00423B8F" w:rsidP="00423B8F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Тема 1. Основи теорії похибок.</w:t>
            </w:r>
          </w:p>
        </w:tc>
        <w:tc>
          <w:tcPr>
            <w:tcW w:w="462" w:type="pct"/>
            <w:vMerge w:val="restart"/>
            <w:vAlign w:val="center"/>
          </w:tcPr>
          <w:p w:rsidR="00423B8F" w:rsidRPr="00F9755A" w:rsidRDefault="00423B8F" w:rsidP="00FE35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Лекції, лабораторні заняття</w:t>
            </w:r>
          </w:p>
        </w:tc>
        <w:tc>
          <w:tcPr>
            <w:tcW w:w="554" w:type="pct"/>
            <w:vMerge w:val="restart"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Посилання на Інтернет ресурси у завданні</w:t>
            </w:r>
          </w:p>
        </w:tc>
        <w:tc>
          <w:tcPr>
            <w:tcW w:w="645" w:type="pct"/>
            <w:vMerge w:val="restart"/>
            <w:vAlign w:val="center"/>
          </w:tcPr>
          <w:p w:rsidR="00423B8F" w:rsidRPr="00F9755A" w:rsidRDefault="00423B8F" w:rsidP="00423B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F9755A">
              <w:rPr>
                <w:rFonts w:ascii="Times New Roman" w:hAnsi="Times New Roman" w:cs="Times New Roman"/>
                <w:bCs/>
                <w:iCs/>
                <w:lang w:val="uk-UA"/>
              </w:rPr>
              <w:t>[1– 8]</w:t>
            </w:r>
          </w:p>
        </w:tc>
        <w:tc>
          <w:tcPr>
            <w:tcW w:w="417" w:type="pct"/>
            <w:vMerge w:val="restart"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Завдання на сторінці MOODLE</w:t>
            </w:r>
          </w:p>
        </w:tc>
        <w:tc>
          <w:tcPr>
            <w:tcW w:w="554" w:type="pct"/>
            <w:vMerge w:val="restart"/>
            <w:vAlign w:val="center"/>
          </w:tcPr>
          <w:p w:rsidR="00423B8F" w:rsidRPr="00F9755A" w:rsidRDefault="00423B8F" w:rsidP="00FE35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Робота студентів на лабораторних заняттях оцінюється за 12-бальною шкалою</w:t>
            </w:r>
          </w:p>
        </w:tc>
        <w:tc>
          <w:tcPr>
            <w:tcW w:w="440" w:type="pct"/>
            <w:vMerge w:val="restart"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Впродовж заняття</w:t>
            </w:r>
          </w:p>
        </w:tc>
      </w:tr>
      <w:tr w:rsidR="00423B8F" w:rsidRPr="00F9755A" w:rsidTr="00423B8F">
        <w:trPr>
          <w:trHeight w:val="352"/>
        </w:trPr>
        <w:tc>
          <w:tcPr>
            <w:tcW w:w="359" w:type="pct"/>
            <w:vAlign w:val="center"/>
          </w:tcPr>
          <w:p w:rsidR="00423B8F" w:rsidRPr="00F9755A" w:rsidRDefault="00423B8F" w:rsidP="00FE35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69" w:type="pct"/>
            <w:vAlign w:val="center"/>
          </w:tcPr>
          <w:p w:rsidR="00423B8F" w:rsidRPr="00F9755A" w:rsidRDefault="00423B8F" w:rsidP="00423B8F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Тема 2. Наближені методи розв’язування рівнянь.</w:t>
            </w:r>
          </w:p>
        </w:tc>
        <w:tc>
          <w:tcPr>
            <w:tcW w:w="462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pct"/>
            <w:vMerge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17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3B8F" w:rsidRPr="00F9755A" w:rsidTr="00423B8F">
        <w:trPr>
          <w:trHeight w:val="352"/>
        </w:trPr>
        <w:tc>
          <w:tcPr>
            <w:tcW w:w="359" w:type="pct"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69" w:type="pct"/>
            <w:vAlign w:val="center"/>
          </w:tcPr>
          <w:p w:rsidR="00423B8F" w:rsidRPr="00F9755A" w:rsidRDefault="00423B8F" w:rsidP="00423B8F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Тема 3. Методи розв’язування систем лінійних та нелінійних рівнянь.</w:t>
            </w:r>
          </w:p>
        </w:tc>
        <w:tc>
          <w:tcPr>
            <w:tcW w:w="462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pct"/>
            <w:vMerge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17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3B8F" w:rsidRPr="00F9755A" w:rsidTr="00423B8F">
        <w:trPr>
          <w:trHeight w:val="352"/>
        </w:trPr>
        <w:tc>
          <w:tcPr>
            <w:tcW w:w="359" w:type="pct"/>
            <w:vAlign w:val="center"/>
          </w:tcPr>
          <w:p w:rsidR="00423B8F" w:rsidRPr="00F9755A" w:rsidRDefault="00423B8F" w:rsidP="00FE35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69" w:type="pct"/>
            <w:vAlign w:val="center"/>
          </w:tcPr>
          <w:p w:rsidR="00423B8F" w:rsidRPr="00F9755A" w:rsidRDefault="00423B8F" w:rsidP="00423B8F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Тема 4. Задача інтерполювання</w:t>
            </w:r>
          </w:p>
        </w:tc>
        <w:tc>
          <w:tcPr>
            <w:tcW w:w="462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pct"/>
            <w:vMerge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17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3B8F" w:rsidRPr="00F9755A" w:rsidTr="00423B8F">
        <w:trPr>
          <w:trHeight w:val="352"/>
        </w:trPr>
        <w:tc>
          <w:tcPr>
            <w:tcW w:w="359" w:type="pct"/>
            <w:vAlign w:val="center"/>
          </w:tcPr>
          <w:p w:rsidR="00423B8F" w:rsidRPr="00F9755A" w:rsidRDefault="00423B8F" w:rsidP="00FE35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569" w:type="pct"/>
            <w:vAlign w:val="center"/>
          </w:tcPr>
          <w:p w:rsidR="00423B8F" w:rsidRPr="00F9755A" w:rsidRDefault="00423B8F" w:rsidP="00423B8F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 w:rsidRPr="00F9755A">
              <w:rPr>
                <w:rFonts w:ascii="Times New Roman" w:hAnsi="Times New Roman" w:cs="Times New Roman"/>
                <w:lang w:val="uk-UA"/>
              </w:rPr>
              <w:t>Тема 5. Чисельне інтегрування та диференціювання</w:t>
            </w:r>
          </w:p>
        </w:tc>
        <w:tc>
          <w:tcPr>
            <w:tcW w:w="462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pct"/>
            <w:vMerge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  <w:tc>
          <w:tcPr>
            <w:tcW w:w="417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54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40" w:type="pct"/>
            <w:vMerge/>
            <w:vAlign w:val="center"/>
          </w:tcPr>
          <w:p w:rsidR="00423B8F" w:rsidRPr="00F9755A" w:rsidRDefault="00423B8F" w:rsidP="008004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D0F1D" w:rsidRDefault="008D0F1D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A6969" w:rsidRPr="00F9755A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0F6CC0"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 Система оцінювання та вимоги</w:t>
      </w:r>
    </w:p>
    <w:p w:rsidR="00E863AF" w:rsidRPr="00F9755A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63AF" w:rsidRPr="00F9755A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Курс “</w:t>
      </w:r>
      <w:r w:rsidR="00626CDF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обчислень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складається з </w:t>
      </w:r>
      <w:r w:rsidR="00626CDF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кредитн</w:t>
      </w:r>
      <w:r w:rsidR="00626CDF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модул</w:t>
      </w:r>
      <w:r w:rsidR="00626CDF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я. 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оцінювання знань, умінь та навичок студентів передбачається проведення поточного контролю на </w:t>
      </w:r>
      <w:r w:rsidR="00626CDF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кожному лабораторному 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занятт</w:t>
      </w:r>
      <w:r w:rsidR="00626CDF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940AA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письмової модульної контрольної роботи</w:t>
      </w:r>
      <w:r w:rsidR="00C940AA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40AA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підсумковий модульний контроль, який проводиться у вигляді екзамену.</w:t>
      </w:r>
    </w:p>
    <w:p w:rsidR="00E863AF" w:rsidRPr="00F9755A" w:rsidRDefault="00E863AF" w:rsidP="00E863AF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Поточний контроль полягає в перевірці теоретичних знань та практичних умінь і навичок під час </w:t>
      </w:r>
      <w:r w:rsidR="00FE351A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х занять. Результа</w:t>
      </w:r>
      <w:r w:rsidR="00FE351A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ти перевірки самостійної роботи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входять до поточного контролю.  Максимальний бал оцінки поточної успішності студентів на </w:t>
      </w:r>
      <w:r w:rsidR="00C940AA"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</w:t>
      </w: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них заняттях приймається рівним 12.</w:t>
      </w:r>
    </w:p>
    <w:p w:rsidR="00C940AA" w:rsidRPr="00F9755A" w:rsidRDefault="00C940AA" w:rsidP="00C940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Модульна контрольна робота вважається виконаною у разі, якщо її оцінено не менше, ніж на 60% від вагового балу. При виставлянні оцінок за модульну контрольну роботу слід враховувати якість та повноту усіх виконаних завдань.</w:t>
      </w:r>
    </w:p>
    <w:p w:rsidR="00C940AA" w:rsidRPr="00F9755A" w:rsidRDefault="00C940AA" w:rsidP="00C940A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Критерієм успішного проходження здобувачем вищої освіти підсумкового оцінювання є відсутність поточної заборгованості, отримання не менше 60% балів за модульну контрольну роботу та не менше 24 балів підчас підсумкового оцінювання.</w:t>
      </w:r>
    </w:p>
    <w:p w:rsidR="00F82265" w:rsidRPr="00F9755A" w:rsidRDefault="0080045D" w:rsidP="0080045D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Список рекомендованої літератури</w:t>
      </w:r>
    </w:p>
    <w:p w:rsidR="0080045D" w:rsidRPr="00F9755A" w:rsidRDefault="0080045D" w:rsidP="0080045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Гаврилюк І. П., Макаров В. Л. Методи обчислень: Підручник: у 2 ч. Ч. 2. — К., Вища школа., 1996. — 431 с.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Лященко Н. Я., Головань М. С. Чисельні методи: Підручник. — К.: Либідь, 1996. — 288 с.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Деми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>дович Б. Л., Марон И. А. Основы вычислительной математики. — М.: 1970. — 664 с.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>Калиткин Н. Н. Численные методы. — М.: Наука, 1978. — 512 с.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Кудрявцева А.В.,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Мястковська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О.В. Методичні рекомендації по підготовці до контрольних робіт – Кам’янець-Подільський : видавець ПП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Зволейко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Д.Г., 2013. – 64 с. 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Мястковська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О.В. Лабораторний практикум з методів обчислень : навчально-методичний </w:t>
      </w:r>
      <w:r w:rsidRPr="00F9755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посібник – Кам’янець-Подільський : Кам’янець-Подільський національний університет імені Івана Огієнка, 2015. — 99 с.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Мястковська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О.В. Лабораторні роботи з чисельних методів  – Кам’янець-Подільський : Кам’янець-Подільський національний університет імені Івана Огієнка, 2014. – 112 с.</w:t>
      </w:r>
    </w:p>
    <w:p w:rsidR="00423B8F" w:rsidRPr="00F9755A" w:rsidRDefault="00423B8F" w:rsidP="00423B8F">
      <w:pPr>
        <w:widowControl w:val="0"/>
        <w:numPr>
          <w:ilvl w:val="0"/>
          <w:numId w:val="12"/>
        </w:numPr>
        <w:tabs>
          <w:tab w:val="clear" w:pos="928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Мястковська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М.О.,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В.С.,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Щирба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О.В. Чисельні методи – Кам’янець-Подільський : видавець ПП </w:t>
      </w:r>
      <w:proofErr w:type="spellStart"/>
      <w:r w:rsidRPr="00F9755A">
        <w:rPr>
          <w:rFonts w:ascii="Times New Roman" w:hAnsi="Times New Roman" w:cs="Times New Roman"/>
          <w:sz w:val="28"/>
          <w:szCs w:val="28"/>
          <w:lang w:val="uk-UA"/>
        </w:rPr>
        <w:t>Зволейко</w:t>
      </w:r>
      <w:proofErr w:type="spellEnd"/>
      <w:r w:rsidRPr="00F9755A">
        <w:rPr>
          <w:rFonts w:ascii="Times New Roman" w:hAnsi="Times New Roman" w:cs="Times New Roman"/>
          <w:sz w:val="28"/>
          <w:szCs w:val="28"/>
          <w:lang w:val="uk-UA"/>
        </w:rPr>
        <w:t xml:space="preserve"> Д.Г., 2013. – 84 с. </w:t>
      </w:r>
    </w:p>
    <w:p w:rsidR="0080045D" w:rsidRPr="00625809" w:rsidRDefault="0080045D" w:rsidP="0080045D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80045D" w:rsidRPr="00625809" w:rsidSect="001F6B7D">
      <w:headerReference w:type="first" r:id="rId15"/>
      <w:footerReference w:type="first" r:id="rId16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E6" w:rsidRDefault="002262E6" w:rsidP="00EB2356">
      <w:pPr>
        <w:spacing w:after="0" w:line="240" w:lineRule="auto"/>
      </w:pPr>
      <w:r>
        <w:separator/>
      </w:r>
    </w:p>
  </w:endnote>
  <w:endnote w:type="continuationSeparator" w:id="0">
    <w:p w:rsidR="002262E6" w:rsidRDefault="002262E6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485DD1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E6" w:rsidRDefault="002262E6" w:rsidP="00EB2356">
      <w:pPr>
        <w:spacing w:after="0" w:line="240" w:lineRule="auto"/>
      </w:pPr>
      <w:r>
        <w:separator/>
      </w:r>
    </w:p>
  </w:footnote>
  <w:footnote w:type="continuationSeparator" w:id="0">
    <w:p w:rsidR="002262E6" w:rsidRDefault="002262E6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A9C"/>
    <w:multiLevelType w:val="hybridMultilevel"/>
    <w:tmpl w:val="B7B89078"/>
    <w:lvl w:ilvl="0" w:tplc="EBB05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10912BB"/>
    <w:multiLevelType w:val="hybridMultilevel"/>
    <w:tmpl w:val="6B3A0534"/>
    <w:lvl w:ilvl="0" w:tplc="39C6C6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25D228FB"/>
    <w:multiLevelType w:val="hybridMultilevel"/>
    <w:tmpl w:val="CF92BAC2"/>
    <w:lvl w:ilvl="0" w:tplc="4ABC9A1C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A77EE1"/>
    <w:multiLevelType w:val="singleLevel"/>
    <w:tmpl w:val="0D70F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43105A4"/>
    <w:multiLevelType w:val="singleLevel"/>
    <w:tmpl w:val="0D70F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A660F3A"/>
    <w:multiLevelType w:val="multilevel"/>
    <w:tmpl w:val="321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14">
    <w:nsid w:val="74AC4069"/>
    <w:multiLevelType w:val="multilevel"/>
    <w:tmpl w:val="5E30ABCA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1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586C"/>
    <w:rsid w:val="000040D8"/>
    <w:rsid w:val="00054349"/>
    <w:rsid w:val="0006116D"/>
    <w:rsid w:val="00062251"/>
    <w:rsid w:val="00064501"/>
    <w:rsid w:val="000703E8"/>
    <w:rsid w:val="00070BCE"/>
    <w:rsid w:val="00073FB7"/>
    <w:rsid w:val="00077271"/>
    <w:rsid w:val="000A435F"/>
    <w:rsid w:val="000A7657"/>
    <w:rsid w:val="000C71CB"/>
    <w:rsid w:val="000F4E80"/>
    <w:rsid w:val="000F6CC0"/>
    <w:rsid w:val="00103CF7"/>
    <w:rsid w:val="00132D09"/>
    <w:rsid w:val="00135C40"/>
    <w:rsid w:val="00150506"/>
    <w:rsid w:val="001554ED"/>
    <w:rsid w:val="00171320"/>
    <w:rsid w:val="001A086B"/>
    <w:rsid w:val="001A22ED"/>
    <w:rsid w:val="001B3EAF"/>
    <w:rsid w:val="001D5A26"/>
    <w:rsid w:val="001E79D5"/>
    <w:rsid w:val="001F00F4"/>
    <w:rsid w:val="001F6B7D"/>
    <w:rsid w:val="00207525"/>
    <w:rsid w:val="0022402C"/>
    <w:rsid w:val="0022512D"/>
    <w:rsid w:val="002262E6"/>
    <w:rsid w:val="002466D3"/>
    <w:rsid w:val="002710C2"/>
    <w:rsid w:val="002800FE"/>
    <w:rsid w:val="00284E78"/>
    <w:rsid w:val="002874DE"/>
    <w:rsid w:val="002967C1"/>
    <w:rsid w:val="002B72CB"/>
    <w:rsid w:val="002E551F"/>
    <w:rsid w:val="00327311"/>
    <w:rsid w:val="0035301D"/>
    <w:rsid w:val="00387233"/>
    <w:rsid w:val="00392BB8"/>
    <w:rsid w:val="003B1240"/>
    <w:rsid w:val="003D22D3"/>
    <w:rsid w:val="003D2A1B"/>
    <w:rsid w:val="003E2848"/>
    <w:rsid w:val="003E2E8D"/>
    <w:rsid w:val="003F3407"/>
    <w:rsid w:val="0040534F"/>
    <w:rsid w:val="00413A68"/>
    <w:rsid w:val="00416020"/>
    <w:rsid w:val="00423B8F"/>
    <w:rsid w:val="004323A3"/>
    <w:rsid w:val="004636B2"/>
    <w:rsid w:val="00481016"/>
    <w:rsid w:val="00481111"/>
    <w:rsid w:val="004A5A19"/>
    <w:rsid w:val="004B2DA7"/>
    <w:rsid w:val="004C362B"/>
    <w:rsid w:val="004C4A77"/>
    <w:rsid w:val="004D5CC7"/>
    <w:rsid w:val="004E6AF0"/>
    <w:rsid w:val="004F25FA"/>
    <w:rsid w:val="00501388"/>
    <w:rsid w:val="00527B0B"/>
    <w:rsid w:val="005447BC"/>
    <w:rsid w:val="0057586C"/>
    <w:rsid w:val="005A424D"/>
    <w:rsid w:val="005C4A7C"/>
    <w:rsid w:val="005D37EA"/>
    <w:rsid w:val="005E73F8"/>
    <w:rsid w:val="005F5932"/>
    <w:rsid w:val="0060743D"/>
    <w:rsid w:val="006107CD"/>
    <w:rsid w:val="00616163"/>
    <w:rsid w:val="00625809"/>
    <w:rsid w:val="00626CDF"/>
    <w:rsid w:val="00626F7A"/>
    <w:rsid w:val="00632E20"/>
    <w:rsid w:val="00655D29"/>
    <w:rsid w:val="006739DB"/>
    <w:rsid w:val="00691A55"/>
    <w:rsid w:val="006B7B2D"/>
    <w:rsid w:val="006D722C"/>
    <w:rsid w:val="00714779"/>
    <w:rsid w:val="007403F6"/>
    <w:rsid w:val="00754856"/>
    <w:rsid w:val="007623DD"/>
    <w:rsid w:val="00771347"/>
    <w:rsid w:val="007C014C"/>
    <w:rsid w:val="007E27E9"/>
    <w:rsid w:val="007F4B22"/>
    <w:rsid w:val="00800183"/>
    <w:rsid w:val="0080045D"/>
    <w:rsid w:val="00810E26"/>
    <w:rsid w:val="00836E19"/>
    <w:rsid w:val="00843C51"/>
    <w:rsid w:val="00853C11"/>
    <w:rsid w:val="00880C0E"/>
    <w:rsid w:val="008A0FD9"/>
    <w:rsid w:val="008A35D3"/>
    <w:rsid w:val="008D0F1D"/>
    <w:rsid w:val="008F4594"/>
    <w:rsid w:val="008F4B3F"/>
    <w:rsid w:val="00911E99"/>
    <w:rsid w:val="00915B70"/>
    <w:rsid w:val="00941657"/>
    <w:rsid w:val="0096130A"/>
    <w:rsid w:val="00961B57"/>
    <w:rsid w:val="00966850"/>
    <w:rsid w:val="00986999"/>
    <w:rsid w:val="00990540"/>
    <w:rsid w:val="00992E30"/>
    <w:rsid w:val="009A17B8"/>
    <w:rsid w:val="009B1675"/>
    <w:rsid w:val="009C0344"/>
    <w:rsid w:val="009C66B4"/>
    <w:rsid w:val="009D5770"/>
    <w:rsid w:val="009E375B"/>
    <w:rsid w:val="00A13DA4"/>
    <w:rsid w:val="00A26FA2"/>
    <w:rsid w:val="00A53466"/>
    <w:rsid w:val="00A5466F"/>
    <w:rsid w:val="00A83AFC"/>
    <w:rsid w:val="00A84EA2"/>
    <w:rsid w:val="00A95C63"/>
    <w:rsid w:val="00AB00A6"/>
    <w:rsid w:val="00AC47D1"/>
    <w:rsid w:val="00AE0697"/>
    <w:rsid w:val="00AE283C"/>
    <w:rsid w:val="00AF347F"/>
    <w:rsid w:val="00BA7AD7"/>
    <w:rsid w:val="00BB1016"/>
    <w:rsid w:val="00BB3AE9"/>
    <w:rsid w:val="00BE09A6"/>
    <w:rsid w:val="00BE7B8A"/>
    <w:rsid w:val="00C059EE"/>
    <w:rsid w:val="00C24AE9"/>
    <w:rsid w:val="00C315ED"/>
    <w:rsid w:val="00C53778"/>
    <w:rsid w:val="00C669B5"/>
    <w:rsid w:val="00C7273C"/>
    <w:rsid w:val="00C74486"/>
    <w:rsid w:val="00C75A78"/>
    <w:rsid w:val="00C940AA"/>
    <w:rsid w:val="00C967D4"/>
    <w:rsid w:val="00CA6969"/>
    <w:rsid w:val="00CC6796"/>
    <w:rsid w:val="00CD11F9"/>
    <w:rsid w:val="00CD532B"/>
    <w:rsid w:val="00CE0699"/>
    <w:rsid w:val="00CF766E"/>
    <w:rsid w:val="00D4016C"/>
    <w:rsid w:val="00D41D51"/>
    <w:rsid w:val="00D46263"/>
    <w:rsid w:val="00D628AD"/>
    <w:rsid w:val="00D76B07"/>
    <w:rsid w:val="00D76D06"/>
    <w:rsid w:val="00D96BC2"/>
    <w:rsid w:val="00DC0EE8"/>
    <w:rsid w:val="00DC30B3"/>
    <w:rsid w:val="00DC3AF4"/>
    <w:rsid w:val="00DD7881"/>
    <w:rsid w:val="00E0540D"/>
    <w:rsid w:val="00E059BD"/>
    <w:rsid w:val="00E0677A"/>
    <w:rsid w:val="00E44BEC"/>
    <w:rsid w:val="00E60607"/>
    <w:rsid w:val="00E7240A"/>
    <w:rsid w:val="00E73B4D"/>
    <w:rsid w:val="00E863AF"/>
    <w:rsid w:val="00EA3C22"/>
    <w:rsid w:val="00EB2356"/>
    <w:rsid w:val="00EC3D89"/>
    <w:rsid w:val="00EE2549"/>
    <w:rsid w:val="00EE25B1"/>
    <w:rsid w:val="00EF286C"/>
    <w:rsid w:val="00F03C77"/>
    <w:rsid w:val="00F0461C"/>
    <w:rsid w:val="00F20187"/>
    <w:rsid w:val="00F353E1"/>
    <w:rsid w:val="00F6559E"/>
    <w:rsid w:val="00F76A13"/>
    <w:rsid w:val="00F81B83"/>
    <w:rsid w:val="00F82265"/>
    <w:rsid w:val="00F9755A"/>
    <w:rsid w:val="00FB2E59"/>
    <w:rsid w:val="00FB35AC"/>
    <w:rsid w:val="00FC217F"/>
    <w:rsid w:val="00FC62FD"/>
    <w:rsid w:val="00FD7722"/>
    <w:rsid w:val="00FE351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63"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6258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62580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54856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3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character" w:customStyle="1" w:styleId="30">
    <w:name w:val="Заголовок 3 Знак"/>
    <w:basedOn w:val="a0"/>
    <w:link w:val="3"/>
    <w:rsid w:val="00754856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5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EC3D8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3A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13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Indent"/>
    <w:basedOn w:val="a"/>
    <w:link w:val="af"/>
    <w:rsid w:val="0062580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rsid w:val="00625809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vdej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chyrba.viktor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h.kpnu.edu.ua/kaf/dumansk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ath.kpnu.edu.ua/kaf/avdey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.kpnu.edu.ua/2019/11/04/shchyrba-viktor-samuilovych/" TargetMode="External"/><Relationship Id="rId14" Type="http://schemas.openxmlformats.org/officeDocument/2006/relationships/hyperlink" Target="https://moodle.kpnu.edu.ua/user/index.php?id=1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49FD-8B1A-4005-8D6F-CAE10AE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2019-10-11T06:58:00Z</cp:lastPrinted>
  <dcterms:created xsi:type="dcterms:W3CDTF">2019-12-04T11:46:00Z</dcterms:created>
  <dcterms:modified xsi:type="dcterms:W3CDTF">2020-09-11T09:58:00Z</dcterms:modified>
</cp:coreProperties>
</file>