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9" w:rsidRPr="00BA7AD7" w:rsidRDefault="00CA6969" w:rsidP="00BB3AE9">
      <w:pPr>
        <w:pStyle w:val="11"/>
        <w:tabs>
          <w:tab w:val="left" w:pos="11164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Камянець-Подільський</w:t>
      </w:r>
      <w:proofErr w:type="spellEnd"/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нац</w:t>
      </w:r>
      <w:r w:rsidR="00FF619C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іональний університет імені Іва</w:t>
      </w: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 Огієнка </w:t>
      </w: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BB3AE9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фізико-математичний факультет</w:t>
      </w: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кафедра </w:t>
      </w:r>
      <w:r w:rsidR="00BB3AE9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математики</w:t>
      </w:r>
    </w:p>
    <w:p w:rsidR="006D722C" w:rsidRPr="00BA7AD7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Загальна інформація про курс</w:t>
      </w:r>
    </w:p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BA7AD7" w:rsidTr="004E412A">
        <w:trPr>
          <w:trHeight w:val="63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BA7AD7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  <w:r w:rsidR="00F353E1"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BA7AD7" w:rsidRDefault="00BB3AE9" w:rsidP="00BB3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Дискретна математика, українська мова викладання</w:t>
            </w:r>
          </w:p>
        </w:tc>
      </w:tr>
      <w:tr w:rsidR="00CA6969" w:rsidRPr="00BA7AD7" w:rsidTr="004E412A">
        <w:trPr>
          <w:trHeight w:val="22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BA7AD7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BA7AD7" w:rsidRDefault="008A0FD9" w:rsidP="005B3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Щирба</w:t>
            </w:r>
            <w:proofErr w:type="spellEnd"/>
            <w:r w:rsidRPr="00BA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BA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Самуїлович</w:t>
            </w:r>
            <w:proofErr w:type="spellEnd"/>
            <w:r w:rsidRPr="00BA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декан фізико-математичного факультету</w:t>
            </w:r>
          </w:p>
        </w:tc>
      </w:tr>
      <w:tr w:rsidR="00CA6969" w:rsidRPr="00BA7AD7" w:rsidTr="004E412A">
        <w:trPr>
          <w:trHeight w:val="24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BA7AD7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Профайл</w:t>
            </w:r>
            <w:proofErr w:type="spellEnd"/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BA7AD7" w:rsidRDefault="008A73D8" w:rsidP="007F4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8A0FD9" w:rsidRPr="00BA7AD7">
                <w:rPr>
                  <w:rStyle w:val="a5"/>
                  <w:lang w:val="uk-UA"/>
                </w:rPr>
                <w:t>https://inf.kpnu.edu.ua/2019/11/04/shchyrba-viktor-samuilovych/</w:t>
              </w:r>
            </w:hyperlink>
            <w:r w:rsidR="008A0FD9" w:rsidRPr="00BA7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424D" w:rsidRPr="00BA7AD7" w:rsidTr="004E412A">
        <w:trPr>
          <w:trHeight w:val="2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BA7AD7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BA7AD7" w:rsidRDefault="008A73D8" w:rsidP="00062251">
            <w:pPr>
              <w:pStyle w:val="1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8A0FD9" w:rsidRPr="00BA7AD7">
                <w:rPr>
                  <w:rStyle w:val="a5"/>
                  <w:bdr w:val="none" w:sz="0" w:space="0" w:color="auto" w:frame="1"/>
                  <w:shd w:val="clear" w:color="auto" w:fill="FFFFFF"/>
                  <w:lang w:val="uk-UA"/>
                </w:rPr>
                <w:t>shchyrba.viktor@kpnu.edu.ua</w:t>
              </w:r>
            </w:hyperlink>
            <w:r w:rsidR="00062251" w:rsidRPr="004E412A">
              <w:rPr>
                <w:rStyle w:val="a5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hyperlink r:id="rId11" w:history="1">
              <w:r w:rsidR="00062251" w:rsidRPr="004E412A">
                <w:rPr>
                  <w:rStyle w:val="a5"/>
                  <w:bdr w:val="none" w:sz="0" w:space="0" w:color="auto" w:frame="1"/>
                  <w:shd w:val="clear" w:color="auto" w:fill="FFFFFF"/>
                  <w:lang w:val="uk-UA"/>
                </w:rPr>
                <w:t>shchyrba.viktor@gmail.com</w:t>
              </w:r>
            </w:hyperlink>
            <w:r w:rsidR="00062251" w:rsidRPr="004E412A">
              <w:rPr>
                <w:rStyle w:val="a5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5A424D" w:rsidRPr="00BA7AD7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BA7AD7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курсу в 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5FDC" w:rsidRPr="00035FDC" w:rsidRDefault="008A73D8" w:rsidP="0003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035FDC" w:rsidRPr="00031219">
                <w:rPr>
                  <w:rStyle w:val="a5"/>
                </w:rPr>
                <w:t>https://moodle.kpnu.edu.ua/course/view.php?id=1336</w:t>
              </w:r>
            </w:hyperlink>
          </w:p>
        </w:tc>
      </w:tr>
      <w:tr w:rsidR="005A424D" w:rsidRPr="00BA7AD7" w:rsidTr="00CD11F9">
        <w:trPr>
          <w:trHeight w:val="41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BA7AD7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BA7AD7" w:rsidRDefault="005E73F8" w:rsidP="005E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консультації проводяться щотижня за графіком кафедри, індивідуальні – в другій половині всіх робочих днів</w:t>
            </w:r>
            <w:r w:rsidRPr="00BA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BA7AD7" w:rsidRDefault="00CA6969" w:rsidP="00A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Анотація до курсу</w:t>
      </w:r>
    </w:p>
    <w:p w:rsidR="006B7B2D" w:rsidRPr="00BA7AD7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5C4A7C" w:rsidRPr="00BA7AD7" w:rsidRDefault="00A5466F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>Основне призначення</w:t>
      </w:r>
      <w:r w:rsidR="00C53778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курсу – 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дослідження об’єктів та їх властивостей, що мають дискретний, скінченний характер, </w:t>
      </w:r>
      <w:r w:rsidR="00C53778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дати математичне забезпечення для сучасних комп’ютерних та інформаційних технологій. 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>Курс «Дискретна математика»</w:t>
      </w:r>
      <w:r w:rsidR="00C53778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базу для таких вузькоспеціалізованих курсів, як «Алгоритми та структури даних», </w:t>
      </w:r>
      <w:r w:rsidR="005C4A7C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«Програмування», </w:t>
      </w:r>
      <w:r w:rsidR="00C53778" w:rsidRPr="00BA7AD7">
        <w:rPr>
          <w:rFonts w:ascii="Times New Roman" w:hAnsi="Times New Roman" w:cs="Times New Roman"/>
          <w:sz w:val="28"/>
          <w:szCs w:val="28"/>
          <w:lang w:val="uk-UA"/>
        </w:rPr>
        <w:t>«Бази даних», «Комп'ютерне моделювання»</w:t>
      </w:r>
      <w:r w:rsidR="005C4A7C" w:rsidRPr="00BA7AD7">
        <w:rPr>
          <w:rFonts w:ascii="Times New Roman" w:hAnsi="Times New Roman" w:cs="Times New Roman"/>
          <w:sz w:val="28"/>
          <w:szCs w:val="28"/>
          <w:lang w:val="uk-UA"/>
        </w:rPr>
        <w:t>, «Системний аналіз та теорія прийняття рішень»</w:t>
      </w:r>
      <w:r w:rsidR="00C53778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</w:t>
      </w:r>
      <w:r w:rsidR="005C4A7C" w:rsidRPr="00BA7AD7">
        <w:rPr>
          <w:rFonts w:ascii="Times New Roman" w:hAnsi="Times New Roman" w:cs="Times New Roman"/>
          <w:sz w:val="28"/>
          <w:szCs w:val="28"/>
          <w:lang w:val="uk-UA"/>
        </w:rPr>
        <w:t>формується із таких складових, як математична логіка, теорія множин, комбінаторика та теорія графів.</w:t>
      </w:r>
    </w:p>
    <w:p w:rsidR="00CD11F9" w:rsidRPr="00BA7AD7" w:rsidRDefault="00CD11F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1F9" w:rsidRPr="00BA7AD7" w:rsidRDefault="00CD11F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BA7AD7" w:rsidRDefault="00CA6969" w:rsidP="00A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цілі курсу</w:t>
      </w:r>
    </w:p>
    <w:p w:rsidR="00CD11F9" w:rsidRPr="00BA7AD7" w:rsidRDefault="00CD11F9" w:rsidP="00CD11F9">
      <w:p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54856" w:rsidRPr="00BA7AD7" w:rsidRDefault="00754856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Мета вивчення навчальної дисципліни – показати прикладний характер математичної теорії при розв’язанні різного роду задач, які виникають в різних областях науки, техніки і виробництва, закласти основи для математичного моделювання прикладних задач. Знання і навички, одержані при вивченні курсу, стануть </w:t>
      </w:r>
      <w:r w:rsidR="00A5466F" w:rsidRPr="00BA7A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нагоді </w:t>
      </w:r>
      <w:r w:rsidR="00A5466F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в першу чергу 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при освоєнні курсів програмування. </w:t>
      </w:r>
    </w:p>
    <w:p w:rsidR="001554ED" w:rsidRPr="00BA7AD7" w:rsidRDefault="001554ED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вивчення дисципліни є озброєння майбутніх фахівців теоретичними знаннями і практичними вміннями</w:t>
      </w:r>
      <w:r w:rsidR="00AE0697"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з методів комп’ютерного (двійкового) подання інформації про об’єкти, зв’язки між ними та алгоритми обробки даних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>; розвинути у студентів вміння самостійно працювати з літературою, їх пізнавальні інтереси, прагнення до удосконалення своєї професійної підготовки.</w:t>
      </w:r>
    </w:p>
    <w:p w:rsidR="002874DE" w:rsidRPr="00BA7AD7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BA7AD7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Формат курсу</w:t>
      </w:r>
    </w:p>
    <w:p w:rsidR="006B7B2D" w:rsidRPr="00BA7AD7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A6969" w:rsidRPr="00BA7AD7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>Стандартний очний навчальний курс.</w:t>
      </w:r>
    </w:p>
    <w:p w:rsidR="00CA6969" w:rsidRPr="00BA7AD7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Результати навчання</w:t>
      </w:r>
    </w:p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  <w:lang w:val="uk-UA"/>
        </w:rPr>
      </w:pPr>
    </w:p>
    <w:p w:rsidR="0060743D" w:rsidRPr="00BA7AD7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60743D" w:rsidRPr="00BA7AD7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знати: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 двійкової алгебри, властивості логічних операцій, нормальні і досконалі нормальні форм, поліном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Жегалкіна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, основні методи мінімізації двійкових функцій, прямі і непрямі методи доведення теорем, взаємозв’язок між необхідними і достатніми умовами, основні поняття теорії множин, властивості операцій над множинами, відношення та їх застосування в базах даних, типи відношень, правила суми й добутку, означення і формули для обчислення комбінаторних конфігурацій, основні поняття теорії графів, застосування графів в інформатиці; </w:t>
      </w:r>
    </w:p>
    <w:p w:rsidR="0060743D" w:rsidRPr="00BA7AD7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вміти: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рівносильні перетворення логічних виразів, зводити логічні формули до досконалих диз’юнктивних і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кон’юнктивних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нормальних форм чи полінома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Жегалкіна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, формулювати пряму і спряжені до неї теореми та доводити їх різними методами, застосовувати операції навішування кванторів, оперувати предикатами, використовувати діаграми Ейлера-Венна, доводити рівність множин, будувати відношення еквівалентності, задавати розбиття множини на класи за відношенням еквівалентності і будувати фактор-множину, розрізняти комбінаторні конфігурації та оперувати ними, задавати графи різними способами, розрізняти різні види графів, здійснювати перетворення графів, знаходити маршрути,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ейлерові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гамільтонові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цикли, розв’язувати задачі на деревах, працювати з плоскими графами.</w:t>
      </w:r>
    </w:p>
    <w:p w:rsidR="004D5CC7" w:rsidRPr="00BA7AD7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BA7AD7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Обсяг </w:t>
      </w:r>
      <w:r w:rsidR="00C75A78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 ознаки </w:t>
      </w: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</w:p>
    <w:p w:rsidR="00077271" w:rsidRPr="00BA7AD7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6946"/>
      </w:tblGrid>
      <w:tr w:rsidR="00FC62FD" w:rsidRPr="00BA7AD7" w:rsidTr="00626F7A">
        <w:trPr>
          <w:trHeight w:val="254"/>
        </w:trPr>
        <w:tc>
          <w:tcPr>
            <w:tcW w:w="4961" w:type="dxa"/>
            <w:vMerge w:val="restart"/>
          </w:tcPr>
          <w:p w:rsidR="00FC62FD" w:rsidRPr="00BA7AD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C62FD" w:rsidRPr="00BA7AD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</w:t>
            </w:r>
            <w:r w:rsidR="00135C40" w:rsidRPr="00BA7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 w:rsidRPr="00BA7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35C40" w:rsidRPr="00BA7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курсу </w:t>
            </w:r>
          </w:p>
        </w:tc>
      </w:tr>
      <w:tr w:rsidR="00AE0697" w:rsidRPr="00BA7AD7" w:rsidTr="00626F7A">
        <w:trPr>
          <w:trHeight w:val="375"/>
        </w:trPr>
        <w:tc>
          <w:tcPr>
            <w:tcW w:w="4961" w:type="dxa"/>
            <w:vMerge/>
          </w:tcPr>
          <w:p w:rsidR="00AE0697" w:rsidRPr="00BA7AD7" w:rsidRDefault="00AE069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E0697" w:rsidRPr="00BA7AD7" w:rsidRDefault="00AE0697" w:rsidP="009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Освітня програма, спеціальність</w:t>
            </w:r>
          </w:p>
        </w:tc>
        <w:tc>
          <w:tcPr>
            <w:tcW w:w="6946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Комп'ютерні науки та інформаційні технології, 122 Комп'ютерні науки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 навчання/ рік викладання</w:t>
            </w:r>
          </w:p>
        </w:tc>
        <w:tc>
          <w:tcPr>
            <w:tcW w:w="6946" w:type="dxa"/>
          </w:tcPr>
          <w:p w:rsidR="00AE0697" w:rsidRPr="004E412A" w:rsidRDefault="00AE0697" w:rsidP="004E412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/20</w:t>
            </w:r>
            <w:r w:rsidR="004E4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4E4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 вивчення</w:t>
            </w:r>
          </w:p>
        </w:tc>
        <w:tc>
          <w:tcPr>
            <w:tcW w:w="6946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нормативна/вибіркова</w:t>
            </w:r>
          </w:p>
        </w:tc>
        <w:tc>
          <w:tcPr>
            <w:tcW w:w="6946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6946" w:type="dxa"/>
          </w:tcPr>
          <w:p w:rsidR="00AE0697" w:rsidRPr="00BA7AD7" w:rsidRDefault="00246798" w:rsidP="00150506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150506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ЄКТС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годин</w:t>
            </w:r>
          </w:p>
        </w:tc>
        <w:tc>
          <w:tcPr>
            <w:tcW w:w="6946" w:type="dxa"/>
          </w:tcPr>
          <w:p w:rsidR="00AE0697" w:rsidRPr="00BA7AD7" w:rsidRDefault="00150506" w:rsidP="00246798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67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 навчальних занять</w:t>
            </w:r>
          </w:p>
        </w:tc>
        <w:tc>
          <w:tcPr>
            <w:tcW w:w="6946" w:type="dxa"/>
          </w:tcPr>
          <w:p w:rsidR="00AE0697" w:rsidRPr="00BA7AD7" w:rsidRDefault="00246798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6946" w:type="dxa"/>
          </w:tcPr>
          <w:p w:rsidR="00AE0697" w:rsidRPr="00BA7AD7" w:rsidRDefault="00246798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46" w:type="dxa"/>
          </w:tcPr>
          <w:p w:rsidR="00AE0697" w:rsidRPr="00BA7AD7" w:rsidRDefault="00150506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6946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6946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</w:t>
            </w:r>
          </w:p>
        </w:tc>
        <w:tc>
          <w:tcPr>
            <w:tcW w:w="6946" w:type="dxa"/>
          </w:tcPr>
          <w:p w:rsidR="00AE0697" w:rsidRPr="00BA7AD7" w:rsidRDefault="00150506" w:rsidP="00246798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67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AE0697"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BA7AD7" w:rsidTr="00626F7A">
        <w:tc>
          <w:tcPr>
            <w:tcW w:w="4961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946" w:type="dxa"/>
          </w:tcPr>
          <w:p w:rsidR="00AE0697" w:rsidRPr="00BA7AD7" w:rsidRDefault="00AE0697" w:rsidP="00626F7A">
            <w:pPr>
              <w:spacing w:after="16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7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92E30" w:rsidRPr="00BA7AD7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BA7A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BA7A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22512D" w:rsidRPr="00BA7AD7" w:rsidRDefault="0022512D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>Передумови для вивчення дисципліни: дисципліна ґрунтується на знаннях, вміння та навичках, отриманих студентами впродовж вивчення математики та інформатики у закладах середньої освіти.</w:t>
      </w:r>
    </w:p>
    <w:p w:rsidR="00CD11F9" w:rsidRPr="00BA7AD7" w:rsidRDefault="00CD11F9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BA7AD7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D532B" w:rsidRPr="00BA7AD7" w:rsidRDefault="0022512D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CD532B" w:rsidRPr="00BA7AD7">
        <w:rPr>
          <w:rFonts w:ascii="Times New Roman" w:hAnsi="Times New Roman" w:cs="Times New Roman"/>
          <w:sz w:val="28"/>
          <w:szCs w:val="28"/>
          <w:lang w:val="uk-UA"/>
        </w:rPr>
        <w:t>курсу не потребує використання програмного забезпечення, крім загальновживаних програм і операційних систем.</w:t>
      </w:r>
    </w:p>
    <w:p w:rsidR="00CD11F9" w:rsidRPr="00BA7AD7" w:rsidRDefault="00CD11F9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1F9" w:rsidRPr="00BA7AD7" w:rsidRDefault="00CD11F9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BA7AD7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</w:t>
      </w:r>
      <w:r w:rsidR="00CA6969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FB2E59" w:rsidRPr="00BA7AD7" w:rsidRDefault="00FB2E5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Відвідування занять.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всі студенти відвідають усі лекції і практичні заняття курсу.</w:t>
      </w:r>
      <w:r w:rsidRPr="00BA7A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курсом. </w:t>
      </w:r>
    </w:p>
    <w:p w:rsidR="00FB2E59" w:rsidRPr="00BA7AD7" w:rsidRDefault="00FB2E5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Поведінка в аудиторіях.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впродовж лекційних і практичних занять студенти дотримуються діючих правил охорони праці, безпеки життєдіяльності. </w:t>
      </w:r>
    </w:p>
    <w:p w:rsidR="00EC3D89" w:rsidRPr="00BA7AD7" w:rsidRDefault="00EC3D8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Письмові роботи.</w:t>
      </w:r>
      <w:r w:rsidRPr="00BA7AD7">
        <w:rPr>
          <w:lang w:val="uk-UA"/>
        </w:rPr>
        <w:t xml:space="preserve"> 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студенти виконають модульну контрольну роботу. </w:t>
      </w:r>
    </w:p>
    <w:p w:rsidR="00C7273C" w:rsidRPr="00BA7AD7" w:rsidRDefault="00C7273C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Норми етичної поведінки.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діючого в Кам'янець-Подільському національному університеті імені Івана Огієнка університеті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 </w:t>
      </w:r>
    </w:p>
    <w:p w:rsidR="00C7273C" w:rsidRPr="00BA7AD7" w:rsidRDefault="00C7273C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Академічна доброчесність.</w:t>
      </w: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роботи студентів будуть їх власними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та підсумкового контролю результатів навчання. </w:t>
      </w:r>
    </w:p>
    <w:p w:rsidR="00EC3D89" w:rsidRPr="00BA7AD7" w:rsidRDefault="00EC3D8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BA7AD7" w:rsidRDefault="00CA6969" w:rsidP="00FB2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Схема курсу</w:t>
      </w:r>
    </w:p>
    <w:p w:rsidR="00915B70" w:rsidRPr="00BA7AD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3852"/>
        <w:gridCol w:w="1655"/>
        <w:gridCol w:w="1652"/>
        <w:gridCol w:w="2260"/>
        <w:gridCol w:w="1302"/>
        <w:gridCol w:w="1674"/>
        <w:gridCol w:w="1671"/>
      </w:tblGrid>
      <w:tr w:rsidR="001F00F4" w:rsidRPr="00BA7AD7" w:rsidTr="00501388">
        <w:trPr>
          <w:cantSplit/>
          <w:trHeight w:val="562"/>
        </w:trPr>
        <w:tc>
          <w:tcPr>
            <w:tcW w:w="419" w:type="pct"/>
          </w:tcPr>
          <w:p w:rsidR="001F00F4" w:rsidRPr="00BA7AD7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акад. год.</w:t>
            </w:r>
          </w:p>
        </w:tc>
        <w:tc>
          <w:tcPr>
            <w:tcW w:w="1254" w:type="pct"/>
          </w:tcPr>
          <w:p w:rsidR="001F00F4" w:rsidRPr="00BA7AD7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539" w:type="pct"/>
          </w:tcPr>
          <w:p w:rsidR="001F00F4" w:rsidRPr="00BA7AD7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538" w:type="pct"/>
          </w:tcPr>
          <w:p w:rsidR="001F00F4" w:rsidRPr="00BA7AD7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736" w:type="pct"/>
          </w:tcPr>
          <w:p w:rsidR="001F00F4" w:rsidRPr="00BA7AD7" w:rsidRDefault="001F00F4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="0080045D"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F00F4" w:rsidRPr="00BA7AD7" w:rsidRDefault="001F00F4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424" w:type="pct"/>
          </w:tcPr>
          <w:p w:rsidR="00AE283C" w:rsidRPr="00BA7AD7" w:rsidRDefault="00AE283C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</w:t>
            </w:r>
          </w:p>
          <w:p w:rsidR="001F00F4" w:rsidRPr="00BA7AD7" w:rsidRDefault="00AE283C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545" w:type="pct"/>
          </w:tcPr>
          <w:p w:rsidR="00AE283C" w:rsidRPr="00BA7AD7" w:rsidRDefault="00AE283C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  <w:p w:rsidR="001F00F4" w:rsidRPr="00BA7AD7" w:rsidRDefault="00AE283C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(балів)</w:t>
            </w:r>
          </w:p>
        </w:tc>
        <w:tc>
          <w:tcPr>
            <w:tcW w:w="544" w:type="pct"/>
            <w:shd w:val="clear" w:color="auto" w:fill="auto"/>
          </w:tcPr>
          <w:p w:rsidR="001F00F4" w:rsidRPr="00BA7AD7" w:rsidRDefault="00AE283C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80045D" w:rsidRPr="00BA7AD7" w:rsidTr="00E863AF">
        <w:trPr>
          <w:trHeight w:val="697"/>
        </w:trPr>
        <w:tc>
          <w:tcPr>
            <w:tcW w:w="419" w:type="pct"/>
            <w:vAlign w:val="center"/>
          </w:tcPr>
          <w:p w:rsidR="0080045D" w:rsidRPr="00246798" w:rsidRDefault="0080045D" w:rsidP="002467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6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Алгебра висловлень.</w:t>
            </w:r>
          </w:p>
        </w:tc>
        <w:tc>
          <w:tcPr>
            <w:tcW w:w="539" w:type="pct"/>
            <w:vMerge w:val="restar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538" w:type="pct"/>
            <w:vMerge w:val="restar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Інтернет ресурси у завданні</w:t>
            </w: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8, 9, 10, 12, 13, 15, 16, 19, 21, 22]</w:t>
            </w:r>
          </w:p>
        </w:tc>
        <w:tc>
          <w:tcPr>
            <w:tcW w:w="424" w:type="pct"/>
            <w:vMerge w:val="restar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сторінці MOODLE</w:t>
            </w:r>
          </w:p>
        </w:tc>
        <w:tc>
          <w:tcPr>
            <w:tcW w:w="545" w:type="pct"/>
            <w:vMerge w:val="restar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студентів на практичних заняттях оцінюється за 12-бальною шкалою</w:t>
            </w:r>
          </w:p>
        </w:tc>
        <w:tc>
          <w:tcPr>
            <w:tcW w:w="544" w:type="pct"/>
            <w:vMerge w:val="restar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заняття</w:t>
            </w:r>
          </w:p>
        </w:tc>
      </w:tr>
      <w:tr w:rsidR="0080045D" w:rsidRPr="00BA7AD7" w:rsidTr="00004827">
        <w:trPr>
          <w:trHeight w:val="352"/>
        </w:trPr>
        <w:tc>
          <w:tcPr>
            <w:tcW w:w="419" w:type="pct"/>
            <w:vAlign w:val="center"/>
          </w:tcPr>
          <w:p w:rsidR="0080045D" w:rsidRPr="00246798" w:rsidRDefault="0080045D" w:rsidP="002467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6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proofErr w:type="spellStart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Булеві</w:t>
            </w:r>
            <w:proofErr w:type="spellEnd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8, 9, 10, 12, 13, 15, 16, 19, 21,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004827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Застосування алгебри висловлень. Предикати.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8, 9, 10, 12, 13, 15, 16, 19, 21,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00391">
        <w:trPr>
          <w:trHeight w:val="352"/>
        </w:trPr>
        <w:tc>
          <w:tcPr>
            <w:tcW w:w="419" w:type="pct"/>
            <w:vAlign w:val="center"/>
          </w:tcPr>
          <w:p w:rsidR="0080045D" w:rsidRPr="00246798" w:rsidRDefault="00246798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Множини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[1, 8, 10, 12, 13, 15, </w:t>
            </w: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19,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00391">
        <w:trPr>
          <w:trHeight w:val="352"/>
        </w:trPr>
        <w:tc>
          <w:tcPr>
            <w:tcW w:w="419" w:type="pct"/>
            <w:vAlign w:val="center"/>
          </w:tcPr>
          <w:p w:rsidR="0080045D" w:rsidRPr="00246798" w:rsidRDefault="00246798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Відношення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8, 10, 12, 13, 15, 19,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A073EF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Основні комбінаторні схеми. Розміщення.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6, 7, 8, 12, 16, 18, 20,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A073EF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Перестановки. Комбінації.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6, 7, 8, 12, 16, 18, 20,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A073EF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2467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Розбиття. Біном Ньютона. 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6, 7, 8, 12, 16, 18, 20,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25760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Основні поняття теорії графів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2, 3, 4, 7, 8, 11, 12, 16, 17,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25760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Зв'язні графи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2, 3, 4, 7, 8, 11, 12, 16, 17,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25760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Шляхи в графі. Ейлерові графи.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2, 3, 4, 7, 8, 11, 12, 16, 17,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25760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Дерева.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2, 3, 4, 7, 8, 11, 12, 16, 17,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45D" w:rsidRPr="00BA7AD7" w:rsidTr="00825760">
        <w:trPr>
          <w:trHeight w:val="352"/>
        </w:trPr>
        <w:tc>
          <w:tcPr>
            <w:tcW w:w="419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4" w:type="pct"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proofErr w:type="spellStart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Планарні</w:t>
            </w:r>
            <w:proofErr w:type="spellEnd"/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графи. Застосування графів.</w:t>
            </w:r>
          </w:p>
        </w:tc>
        <w:tc>
          <w:tcPr>
            <w:tcW w:w="539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:rsidR="0080045D" w:rsidRPr="00BA7AD7" w:rsidRDefault="0080045D" w:rsidP="0080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[1, 2, 3, 4, 7, 8, 11, 12, 16, 17, 22]</w:t>
            </w:r>
          </w:p>
        </w:tc>
        <w:tc>
          <w:tcPr>
            <w:tcW w:w="42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80045D" w:rsidRPr="00BA7AD7" w:rsidRDefault="0080045D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6969" w:rsidRPr="00BA7AD7" w:rsidRDefault="00CA6969" w:rsidP="00961B5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uk-UA"/>
        </w:rPr>
      </w:pPr>
    </w:p>
    <w:p w:rsidR="00CA6969" w:rsidRPr="00BA7AD7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0F6CC0"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Система оцінювання та вимоги</w:t>
      </w:r>
    </w:p>
    <w:p w:rsidR="00E863AF" w:rsidRPr="00BA7AD7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63AF" w:rsidRPr="00BA7AD7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 “Дискретна математика” складається з 2-х навчальних (змістових) модуля. Для оцінювання знань, умінь та навичок студентів в кожному змістовому модулі передбачається проведення поточного контролю на практичних заняттях і підсумковий модульний контроль, який проводиться у вигляді письмової модульної контрольної роботи. </w:t>
      </w:r>
    </w:p>
    <w:p w:rsidR="00E863AF" w:rsidRPr="00BA7AD7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 можливі бали оцінювання кожного контрольного заходу наведені у таблиці. Вони встановлені з урахуванням важливості, складності та обсягу відповідної навчальної діяльності студента.</w:t>
      </w:r>
    </w:p>
    <w:p w:rsidR="00CD11F9" w:rsidRPr="00BA7AD7" w:rsidRDefault="00CD11F9" w:rsidP="00E863AF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473"/>
        <w:gridCol w:w="1474"/>
      </w:tblGrid>
      <w:tr w:rsidR="00246798" w:rsidRPr="00BA7AD7" w:rsidTr="00B35EBF">
        <w:trPr>
          <w:trHeight w:val="272"/>
          <w:jc w:val="center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6798" w:rsidRPr="00BA7AD7" w:rsidTr="00B35EBF">
        <w:trPr>
          <w:trHeight w:val="287"/>
          <w:jc w:val="center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46798" w:rsidRPr="00246798" w:rsidRDefault="00246798" w:rsidP="002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46798" w:rsidRPr="00246798" w:rsidRDefault="00246798" w:rsidP="002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46798" w:rsidRPr="00BA7AD7" w:rsidTr="00B35EBF">
        <w:trPr>
          <w:trHeight w:val="278"/>
          <w:jc w:val="center"/>
        </w:trPr>
        <w:tc>
          <w:tcPr>
            <w:tcW w:w="35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A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46798" w:rsidRPr="00246798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6798" w:rsidRPr="00BA7AD7" w:rsidTr="00B35EBF">
        <w:trPr>
          <w:trHeight w:val="289"/>
          <w:jc w:val="center"/>
        </w:trPr>
        <w:tc>
          <w:tcPr>
            <w:tcW w:w="35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46798" w:rsidRPr="00BA7AD7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A7A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Загалом за змістовий модуль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46798" w:rsidRPr="00246798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46798" w:rsidRPr="00246798" w:rsidRDefault="00246798" w:rsidP="00E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E863AF" w:rsidRPr="00BA7AD7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63AF" w:rsidRPr="00BA7AD7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контроль полягає в перевірці теоретичних знань та практичних умінь і навичок під час практичних занять. Результати перевірки самостійної роботи, в тому числі виконання домашніх завдань, студентів також входять до поточного контролю.  Максимальний бал оцінки поточної успішності студентів на практичних заняттях приймається рівним 12.</w:t>
      </w:r>
    </w:p>
    <w:p w:rsidR="00E863AF" w:rsidRPr="00246798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sz w:val="28"/>
          <w:szCs w:val="28"/>
          <w:lang w:val="uk-UA"/>
        </w:rPr>
        <w:t>Модульна контрольна робота вважається виконаною у разі, якщо її оцінено не менше, ніж на 60% від вагового балу. При виставлянні оцінок за модульну контрольну роботу слід враховувати якість та повноту усіх виконаних завдань.</w:t>
      </w:r>
    </w:p>
    <w:p w:rsidR="00246798" w:rsidRPr="00246798" w:rsidRDefault="00246798" w:rsidP="0024679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7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Критерієм успішного проходження здобувачем вищої освіти підсумкового оцінювання є відсутність поточної заборгованості, отримання не менше 60% балів за кожну модульну контрольну роботу та не менше 24 балів підчас підсумкового оцінювання. </w:t>
      </w:r>
    </w:p>
    <w:p w:rsidR="00246798" w:rsidRPr="00246798" w:rsidRDefault="00246798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2265" w:rsidRPr="00BA7AD7" w:rsidRDefault="0080045D" w:rsidP="0080045D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Список рекомендованої літератури</w:t>
      </w:r>
    </w:p>
    <w:p w:rsidR="0080045D" w:rsidRPr="00BA7AD7" w:rsidRDefault="0080045D" w:rsidP="0080045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Бардачов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Ю.М., Соколова Н.А. і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Ходаков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В.Є. Дискретна математика. — К.: Вища шк., 2002. – 287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Березина Л.Ю.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Графы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, 1979. – 144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Берж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графов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Пер. с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иностранной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, 1962. – 319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Воробьев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Е.М.,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Шаталов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В.Е.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графов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школа, 1976. – 392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М.Ф., Білоус Н.В.,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Руткас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А.Г. Комп’ютерна дискретна математика. – Харків: «Компанія СМІТ», 2004. – 480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Виленкин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Н.Я.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Комбинаторика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. – М.: Наука, 1969. – 328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Гаврилов Г.П.,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Сапоженко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задач по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дискретной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. – М.: Наука, 1977. – 368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А.В. Гаєвська, В.С.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 Практикум з дискретної математики. – Кам’янець-Подільський: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університет, 2006. – 208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Игошин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Математическая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логика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алгоритмов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– Саратов.: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Сарат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, 1991. – 256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Завало С.Т.,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Костарчук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Хацет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Б.І. Алгебра і теорія чисел. – Ч.1., К.: Вища школа, 1974. – 464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Камерон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П.,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Линт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Дж.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графов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кодирования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блок-схемы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Пер. с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. – М.: Наука, 1980. – 144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Капітонова Ю.В., Кривий С.Л.,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Летичевський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О.А., Луцький Г.М., Печорін М.К. Основи дискретної математики. – К.: Наукова думка, 2002. – 579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Куликов Л.Я. Алгебра и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чисел. – М.: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школа, 1979. – 559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Нікольський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Ю.В., Пасічник В.В., Щербина Ю.М. Дискретна математика. – К.: Видавнича група BHV, 2007. – 368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Новиков П.С.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математической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логики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. – М.: Наука, 1973. – 399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Новиков Ф.А.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Дискретная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мате</w:t>
      </w:r>
      <w:bookmarkStart w:id="0" w:name="_GoBack"/>
      <w:bookmarkEnd w:id="0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матика для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программистов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, 2001. – 304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Оре О.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графов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Пер. с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. – М.: Наука, 1980. – 336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Сачков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Комбинаторные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дискретной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математики. – М.: Наука, 1977. – 320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Столл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Р.Р.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Логика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Аксиоматические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Пер. с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, 1968. – 230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Холл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Комбинаторика.–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М.: Мир, 1970. – 421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Хромой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Я.В. Математична логіка. – К.: Вища школа, 1983. – 208 с.</w:t>
      </w:r>
    </w:p>
    <w:p w:rsidR="0080045D" w:rsidRPr="00BA7AD7" w:rsidRDefault="0080045D" w:rsidP="0080045D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Циганівський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 М.С. Практикум з дискретної математики : навчальний посібник / М.С.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Циганівський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 xml:space="preserve">, В.С. </w:t>
      </w:r>
      <w:proofErr w:type="spellStart"/>
      <w:r w:rsidRPr="00BA7AD7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BA7AD7">
        <w:rPr>
          <w:rFonts w:ascii="Times New Roman" w:hAnsi="Times New Roman" w:cs="Times New Roman"/>
          <w:sz w:val="28"/>
          <w:szCs w:val="28"/>
          <w:lang w:val="uk-UA"/>
        </w:rPr>
        <w:t>. – Кам’янець-Подільський : Кам’янець-Подільський національний університет імені Івана Огієнка, 2011. – 220 с.</w:t>
      </w:r>
    </w:p>
    <w:p w:rsidR="0080045D" w:rsidRPr="00BA7AD7" w:rsidRDefault="0080045D" w:rsidP="0080045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80045D" w:rsidRPr="00BA7AD7" w:rsidSect="001F6B7D">
      <w:headerReference w:type="default" r:id="rId13"/>
      <w:headerReference w:type="first" r:id="rId14"/>
      <w:footerReference w:type="first" r:id="rId15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61" w:rsidRDefault="00030161" w:rsidP="00EB2356">
      <w:pPr>
        <w:spacing w:after="0" w:line="240" w:lineRule="auto"/>
      </w:pPr>
      <w:r>
        <w:separator/>
      </w:r>
    </w:p>
  </w:endnote>
  <w:endnote w:type="continuationSeparator" w:id="0">
    <w:p w:rsidR="00030161" w:rsidRDefault="00030161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8A73D8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61" w:rsidRDefault="00030161" w:rsidP="00EB2356">
      <w:pPr>
        <w:spacing w:after="0" w:line="240" w:lineRule="auto"/>
      </w:pPr>
      <w:r>
        <w:separator/>
      </w:r>
    </w:p>
  </w:footnote>
  <w:footnote w:type="continuationSeparator" w:id="0">
    <w:p w:rsidR="00030161" w:rsidRDefault="00030161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10912BB"/>
    <w:multiLevelType w:val="hybridMultilevel"/>
    <w:tmpl w:val="6B3A0534"/>
    <w:lvl w:ilvl="0" w:tplc="39C6C6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25D228FB"/>
    <w:multiLevelType w:val="hybridMultilevel"/>
    <w:tmpl w:val="CF92BAC2"/>
    <w:lvl w:ilvl="0" w:tplc="4ABC9A1C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4AC4069"/>
    <w:multiLevelType w:val="multilevel"/>
    <w:tmpl w:val="5E30ABC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30161"/>
    <w:rsid w:val="00035FDC"/>
    <w:rsid w:val="00054349"/>
    <w:rsid w:val="00062251"/>
    <w:rsid w:val="000703E8"/>
    <w:rsid w:val="00070BCE"/>
    <w:rsid w:val="00073FB7"/>
    <w:rsid w:val="00077271"/>
    <w:rsid w:val="000A435F"/>
    <w:rsid w:val="000A7657"/>
    <w:rsid w:val="000C71CB"/>
    <w:rsid w:val="000F4E80"/>
    <w:rsid w:val="000F6CC0"/>
    <w:rsid w:val="00103CF7"/>
    <w:rsid w:val="00132D09"/>
    <w:rsid w:val="00135C40"/>
    <w:rsid w:val="00150506"/>
    <w:rsid w:val="001554ED"/>
    <w:rsid w:val="00192526"/>
    <w:rsid w:val="001A22ED"/>
    <w:rsid w:val="001B3EAF"/>
    <w:rsid w:val="001D5A26"/>
    <w:rsid w:val="001E79D5"/>
    <w:rsid w:val="001F00F4"/>
    <w:rsid w:val="001F6B7D"/>
    <w:rsid w:val="0022402C"/>
    <w:rsid w:val="0022512D"/>
    <w:rsid w:val="002466D3"/>
    <w:rsid w:val="00246798"/>
    <w:rsid w:val="002710C2"/>
    <w:rsid w:val="00284E78"/>
    <w:rsid w:val="002874DE"/>
    <w:rsid w:val="002967C1"/>
    <w:rsid w:val="002B72CB"/>
    <w:rsid w:val="002E551F"/>
    <w:rsid w:val="00327311"/>
    <w:rsid w:val="0035301D"/>
    <w:rsid w:val="00387233"/>
    <w:rsid w:val="00392BB8"/>
    <w:rsid w:val="003B1240"/>
    <w:rsid w:val="003D22D3"/>
    <w:rsid w:val="003D2A1B"/>
    <w:rsid w:val="003E2848"/>
    <w:rsid w:val="003E2E8D"/>
    <w:rsid w:val="003F3407"/>
    <w:rsid w:val="00416020"/>
    <w:rsid w:val="004323A3"/>
    <w:rsid w:val="004636B2"/>
    <w:rsid w:val="004A5A19"/>
    <w:rsid w:val="004B2DA7"/>
    <w:rsid w:val="004C362B"/>
    <w:rsid w:val="004C4A77"/>
    <w:rsid w:val="004D5CC7"/>
    <w:rsid w:val="004E412A"/>
    <w:rsid w:val="004F25FA"/>
    <w:rsid w:val="00501388"/>
    <w:rsid w:val="00527B0B"/>
    <w:rsid w:val="005447BC"/>
    <w:rsid w:val="0057586C"/>
    <w:rsid w:val="005A424D"/>
    <w:rsid w:val="005B3AC5"/>
    <w:rsid w:val="005C4A7C"/>
    <w:rsid w:val="005D37EA"/>
    <w:rsid w:val="005E73F8"/>
    <w:rsid w:val="005F5932"/>
    <w:rsid w:val="0060743D"/>
    <w:rsid w:val="006107CD"/>
    <w:rsid w:val="00626F7A"/>
    <w:rsid w:val="00632E20"/>
    <w:rsid w:val="00655D29"/>
    <w:rsid w:val="006739DB"/>
    <w:rsid w:val="00691A55"/>
    <w:rsid w:val="006A7F91"/>
    <w:rsid w:val="006B7B2D"/>
    <w:rsid w:val="006D722C"/>
    <w:rsid w:val="00714779"/>
    <w:rsid w:val="007403F6"/>
    <w:rsid w:val="00754856"/>
    <w:rsid w:val="007623DD"/>
    <w:rsid w:val="00771347"/>
    <w:rsid w:val="007C014C"/>
    <w:rsid w:val="007F4B22"/>
    <w:rsid w:val="00800183"/>
    <w:rsid w:val="0080045D"/>
    <w:rsid w:val="00810E26"/>
    <w:rsid w:val="00836E19"/>
    <w:rsid w:val="00843C51"/>
    <w:rsid w:val="00853C11"/>
    <w:rsid w:val="00880C0E"/>
    <w:rsid w:val="008A0FD9"/>
    <w:rsid w:val="008A35D3"/>
    <w:rsid w:val="008A73D8"/>
    <w:rsid w:val="008F4594"/>
    <w:rsid w:val="008F4B3F"/>
    <w:rsid w:val="00911E99"/>
    <w:rsid w:val="00915B70"/>
    <w:rsid w:val="00941657"/>
    <w:rsid w:val="0096130A"/>
    <w:rsid w:val="00961B57"/>
    <w:rsid w:val="00966850"/>
    <w:rsid w:val="00986999"/>
    <w:rsid w:val="00990540"/>
    <w:rsid w:val="00992E30"/>
    <w:rsid w:val="009A17B8"/>
    <w:rsid w:val="009B1675"/>
    <w:rsid w:val="009C0344"/>
    <w:rsid w:val="009C66B4"/>
    <w:rsid w:val="009D5770"/>
    <w:rsid w:val="009E375B"/>
    <w:rsid w:val="00A13DA4"/>
    <w:rsid w:val="00A26FA2"/>
    <w:rsid w:val="00A5466F"/>
    <w:rsid w:val="00A83AFC"/>
    <w:rsid w:val="00A84EA2"/>
    <w:rsid w:val="00AC47D1"/>
    <w:rsid w:val="00AE0697"/>
    <w:rsid w:val="00AE283C"/>
    <w:rsid w:val="00AF347F"/>
    <w:rsid w:val="00BA7AD7"/>
    <w:rsid w:val="00BB1016"/>
    <w:rsid w:val="00BB3AE9"/>
    <w:rsid w:val="00BE09A6"/>
    <w:rsid w:val="00BE7B8A"/>
    <w:rsid w:val="00C059EE"/>
    <w:rsid w:val="00C24AE9"/>
    <w:rsid w:val="00C315ED"/>
    <w:rsid w:val="00C53778"/>
    <w:rsid w:val="00C669B5"/>
    <w:rsid w:val="00C7273C"/>
    <w:rsid w:val="00C74486"/>
    <w:rsid w:val="00C75A78"/>
    <w:rsid w:val="00C967D4"/>
    <w:rsid w:val="00CA6969"/>
    <w:rsid w:val="00CD11F9"/>
    <w:rsid w:val="00CD532B"/>
    <w:rsid w:val="00CF766E"/>
    <w:rsid w:val="00D4016C"/>
    <w:rsid w:val="00D41D51"/>
    <w:rsid w:val="00D46263"/>
    <w:rsid w:val="00D628AD"/>
    <w:rsid w:val="00D76D06"/>
    <w:rsid w:val="00D96BC2"/>
    <w:rsid w:val="00DC0EE8"/>
    <w:rsid w:val="00DC30B3"/>
    <w:rsid w:val="00DC3AF4"/>
    <w:rsid w:val="00E0540D"/>
    <w:rsid w:val="00E059BD"/>
    <w:rsid w:val="00E0677A"/>
    <w:rsid w:val="00E44BEC"/>
    <w:rsid w:val="00E60607"/>
    <w:rsid w:val="00E66E01"/>
    <w:rsid w:val="00E7240A"/>
    <w:rsid w:val="00E73B4D"/>
    <w:rsid w:val="00E863AF"/>
    <w:rsid w:val="00EB2356"/>
    <w:rsid w:val="00EC3D89"/>
    <w:rsid w:val="00EE2549"/>
    <w:rsid w:val="00EE25B1"/>
    <w:rsid w:val="00EF286C"/>
    <w:rsid w:val="00F03C77"/>
    <w:rsid w:val="00F0461C"/>
    <w:rsid w:val="00F353E1"/>
    <w:rsid w:val="00F6559E"/>
    <w:rsid w:val="00F76A13"/>
    <w:rsid w:val="00F81B83"/>
    <w:rsid w:val="00F82265"/>
    <w:rsid w:val="00FB2E59"/>
    <w:rsid w:val="00FC217F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odle.kpnu.edu.ua/course/view.php?id=13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chyrba.vikto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hchyrba.viktor@kpn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.kpnu.edu.ua/2019/11/04/shchyrba-viktor-samuilovyc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72FA-8DE3-4789-A12E-16CD16A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2019-10-11T06:58:00Z</cp:lastPrinted>
  <dcterms:created xsi:type="dcterms:W3CDTF">2019-12-04T11:46:00Z</dcterms:created>
  <dcterms:modified xsi:type="dcterms:W3CDTF">2020-09-29T12:09:00Z</dcterms:modified>
</cp:coreProperties>
</file>